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9F3AE" w14:textId="2C5267D9" w:rsidR="009962A6" w:rsidRPr="00B130EC" w:rsidRDefault="009962A6" w:rsidP="00C6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30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«Английский язык» на основе анализа результатов ОГЭ - 2022 в Кировской области</w:t>
      </w:r>
    </w:p>
    <w:p w14:paraId="327630C1" w14:textId="77777777" w:rsidR="009962A6" w:rsidRPr="00B130EC" w:rsidRDefault="009962A6" w:rsidP="00C675B9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zh-CN"/>
        </w:rPr>
      </w:pPr>
    </w:p>
    <w:p w14:paraId="78AEDD00" w14:textId="77777777" w:rsidR="003B1A90" w:rsidRPr="00B130EC" w:rsidRDefault="003B1A90" w:rsidP="00C675B9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</w:pPr>
      <w:r w:rsidRPr="00B130EC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t>Макарова Марина Юрьевна,</w:t>
      </w:r>
    </w:p>
    <w:p w14:paraId="12CEA13E" w14:textId="77777777" w:rsidR="006A7CBA" w:rsidRPr="00B130EC" w:rsidRDefault="003B1A90" w:rsidP="00C675B9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B130EC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учитель иностранного языка КОГОАУ ВГГ</w:t>
      </w:r>
      <w:r w:rsidR="009962A6" w:rsidRPr="00B130EC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, </w:t>
      </w:r>
    </w:p>
    <w:p w14:paraId="676135CB" w14:textId="7628B5AD" w:rsidR="003B1A90" w:rsidRPr="00B130EC" w:rsidRDefault="009962A6" w:rsidP="00C675B9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bookmarkStart w:id="0" w:name="_Hlk112965726"/>
      <w:r w:rsidRPr="00B130EC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председатель региональной предметной комиссии по </w:t>
      </w:r>
      <w:bookmarkEnd w:id="0"/>
      <w:r w:rsidRPr="00B130EC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английскому языку,</w:t>
      </w:r>
    </w:p>
    <w:p w14:paraId="1759A310" w14:textId="77777777" w:rsidR="001313D9" w:rsidRPr="00B130EC" w:rsidRDefault="001313D9" w:rsidP="00C675B9">
      <w:pPr>
        <w:pStyle w:val="1222"/>
        <w:ind w:firstLine="709"/>
        <w:rPr>
          <w:b w:val="0"/>
          <w:iCs/>
          <w:color w:val="000000"/>
        </w:rPr>
      </w:pPr>
      <w:bookmarkStart w:id="1" w:name="_Toc499153425"/>
      <w:bookmarkStart w:id="2" w:name="_Toc525314750"/>
      <w:r w:rsidRPr="00B130EC">
        <w:rPr>
          <w:rFonts w:eastAsia="Calibri"/>
        </w:rPr>
        <w:t>Полушкина Галина Федоровна</w:t>
      </w:r>
      <w:bookmarkEnd w:id="1"/>
      <w:r w:rsidRPr="00B130EC">
        <w:rPr>
          <w:b w:val="0"/>
          <w:iCs/>
          <w:color w:val="000000"/>
        </w:rPr>
        <w:t>,</w:t>
      </w:r>
      <w:bookmarkEnd w:id="2"/>
    </w:p>
    <w:p w14:paraId="64D14905" w14:textId="77777777" w:rsidR="001313D9" w:rsidRPr="00B130EC" w:rsidRDefault="001313D9" w:rsidP="00C675B9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130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старший преподаватель кафедры предметных областей</w:t>
      </w:r>
    </w:p>
    <w:p w14:paraId="4BEB2519" w14:textId="77777777" w:rsidR="001313D9" w:rsidRPr="00B130EC" w:rsidRDefault="001313D9" w:rsidP="00C675B9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130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КОГОАУ ДПО «ИРО Кировской области»</w:t>
      </w:r>
    </w:p>
    <w:p w14:paraId="16FB1995" w14:textId="77777777" w:rsidR="001313D9" w:rsidRPr="00B130EC" w:rsidRDefault="001313D9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3A113961" w14:textId="77777777" w:rsidR="001313D9" w:rsidRPr="00B130EC" w:rsidRDefault="001313D9" w:rsidP="00C67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>В Кировской области в рамках государств</w:t>
      </w:r>
      <w:r w:rsidR="00610215"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итоговой аттестации в 20</w:t>
      </w:r>
      <w:r w:rsidR="00DA31DC"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предмет «</w:t>
      </w:r>
      <w:r w:rsidR="00AD5E75"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</w:t>
      </w:r>
      <w:r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качестве экзамена по выбору сдавали </w:t>
      </w:r>
      <w:r w:rsidR="00DA31DC"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>708</w:t>
      </w:r>
      <w:r w:rsidR="00AD5E75" w:rsidRPr="00B1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участников. </w:t>
      </w:r>
      <w:r w:rsidRPr="00B13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Динамика результатов ОГЭ по иностранным языкам в целом по Кировской области представлена в таблице 1. </w:t>
      </w:r>
    </w:p>
    <w:p w14:paraId="41D30652" w14:textId="77777777" w:rsidR="001313D9" w:rsidRPr="00B130EC" w:rsidRDefault="001313D9" w:rsidP="00B130EC">
      <w:pPr>
        <w:numPr>
          <w:ilvl w:val="6"/>
          <w:numId w:val="1"/>
        </w:numPr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130EC">
        <w:rPr>
          <w:rFonts w:ascii="Times New Roman" w:eastAsia="Times New Roman" w:hAnsi="Times New Roman" w:cs="Times New Roman"/>
          <w:sz w:val="28"/>
          <w:szCs w:val="24"/>
          <w:lang w:eastAsia="zh-CN"/>
        </w:rPr>
        <w:t>Таблица 1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4"/>
        <w:gridCol w:w="2835"/>
        <w:gridCol w:w="2693"/>
      </w:tblGrid>
      <w:tr w:rsidR="00036E56" w:rsidRPr="00186E9D" w14:paraId="44F213EF" w14:textId="77777777" w:rsidTr="00005B76">
        <w:trPr>
          <w:jc w:val="center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57A64796" w14:textId="77777777" w:rsidR="00036E56" w:rsidRPr="00C278E8" w:rsidRDefault="00036E56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78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7792" w:type="dxa"/>
            <w:gridSpan w:val="3"/>
          </w:tcPr>
          <w:p w14:paraId="2115307E" w14:textId="77777777" w:rsidR="00036E56" w:rsidRPr="00C278E8" w:rsidRDefault="00036E56" w:rsidP="00900AB0">
            <w:pPr>
              <w:spacing w:after="0" w:line="223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78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Английский язык</w:t>
            </w:r>
          </w:p>
        </w:tc>
      </w:tr>
      <w:tr w:rsidR="00AD5E75" w:rsidRPr="00186E9D" w14:paraId="2D110AEB" w14:textId="77777777" w:rsidTr="00005B76">
        <w:trPr>
          <w:jc w:val="center"/>
        </w:trPr>
        <w:tc>
          <w:tcPr>
            <w:tcW w:w="2126" w:type="dxa"/>
            <w:vMerge/>
            <w:shd w:val="clear" w:color="auto" w:fill="auto"/>
            <w:vAlign w:val="center"/>
          </w:tcPr>
          <w:p w14:paraId="15F3A094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3E63FEB2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EBD98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693" w:type="dxa"/>
          </w:tcPr>
          <w:p w14:paraId="252C3C46" w14:textId="77777777" w:rsidR="00AD5E75" w:rsidRPr="00186E9D" w:rsidRDefault="00AD5E75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 г.</w:t>
            </w:r>
          </w:p>
        </w:tc>
      </w:tr>
      <w:tr w:rsidR="00AD5E75" w:rsidRPr="00186E9D" w14:paraId="3D4FB308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1DCA9C6" w14:textId="7A0ED2D3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14:paraId="0969C096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участников</w:t>
            </w:r>
          </w:p>
        </w:tc>
        <w:tc>
          <w:tcPr>
            <w:tcW w:w="2264" w:type="dxa"/>
            <w:shd w:val="clear" w:color="auto" w:fill="auto"/>
          </w:tcPr>
          <w:p w14:paraId="390E020D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625 чел.</w:t>
            </w:r>
          </w:p>
        </w:tc>
        <w:tc>
          <w:tcPr>
            <w:tcW w:w="2835" w:type="dxa"/>
            <w:shd w:val="clear" w:color="auto" w:fill="auto"/>
          </w:tcPr>
          <w:p w14:paraId="69718919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724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2693" w:type="dxa"/>
          </w:tcPr>
          <w:p w14:paraId="43A57393" w14:textId="77777777" w:rsidR="00AD5E75" w:rsidRDefault="00AD5E75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708 чел.</w:t>
            </w:r>
          </w:p>
        </w:tc>
      </w:tr>
      <w:tr w:rsidR="00AD5E75" w:rsidRPr="00186E9D" w14:paraId="7151E0EE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5941193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участников, получивших максимальный балл</w:t>
            </w:r>
          </w:p>
        </w:tc>
        <w:tc>
          <w:tcPr>
            <w:tcW w:w="2264" w:type="dxa"/>
            <w:shd w:val="clear" w:color="auto" w:fill="auto"/>
          </w:tcPr>
          <w:p w14:paraId="0C72FBD0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 чел.</w:t>
            </w:r>
          </w:p>
        </w:tc>
        <w:tc>
          <w:tcPr>
            <w:tcW w:w="2835" w:type="dxa"/>
            <w:shd w:val="clear" w:color="auto" w:fill="auto"/>
          </w:tcPr>
          <w:p w14:paraId="32331203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2693" w:type="dxa"/>
          </w:tcPr>
          <w:p w14:paraId="6C46C073" w14:textId="77777777" w:rsidR="00AD5E75" w:rsidRDefault="00623026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чел.</w:t>
            </w:r>
          </w:p>
        </w:tc>
      </w:tr>
      <w:tr w:rsidR="00AD5E75" w:rsidRPr="00186E9D" w14:paraId="61889FFB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6D2EECB1" w14:textId="77777777" w:rsidR="00AD5E75" w:rsidRPr="00D748BF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D748BF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>Средняя отметка по региону</w:t>
            </w:r>
          </w:p>
        </w:tc>
        <w:tc>
          <w:tcPr>
            <w:tcW w:w="2264" w:type="dxa"/>
            <w:shd w:val="clear" w:color="auto" w:fill="auto"/>
          </w:tcPr>
          <w:p w14:paraId="3C3B213C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4,36</w:t>
            </w:r>
          </w:p>
        </w:tc>
        <w:tc>
          <w:tcPr>
            <w:tcW w:w="2835" w:type="dxa"/>
            <w:shd w:val="clear" w:color="auto" w:fill="auto"/>
          </w:tcPr>
          <w:p w14:paraId="4376DA08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</w:tcPr>
          <w:p w14:paraId="41973993" w14:textId="77777777" w:rsidR="00AD5E75" w:rsidRPr="00186E9D" w:rsidRDefault="00623026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4,25</w:t>
            </w:r>
          </w:p>
        </w:tc>
      </w:tr>
      <w:tr w:rsidR="00AD5E75" w:rsidRPr="00186E9D" w14:paraId="22FBA862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16E4962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2264" w:type="dxa"/>
            <w:shd w:val="clear" w:color="auto" w:fill="auto"/>
          </w:tcPr>
          <w:p w14:paraId="0F020F58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320 (51,20%)</w:t>
            </w:r>
          </w:p>
        </w:tc>
        <w:tc>
          <w:tcPr>
            <w:tcW w:w="2835" w:type="dxa"/>
            <w:shd w:val="clear" w:color="auto" w:fill="auto"/>
          </w:tcPr>
          <w:p w14:paraId="5D13552B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378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2693" w:type="dxa"/>
          </w:tcPr>
          <w:p w14:paraId="49B74749" w14:textId="77777777" w:rsidR="00AD5E75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324</w:t>
            </w:r>
          </w:p>
          <w:p w14:paraId="17368E3E" w14:textId="77777777" w:rsidR="00976D70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(45,*%)</w:t>
            </w:r>
          </w:p>
        </w:tc>
      </w:tr>
      <w:tr w:rsidR="00AD5E75" w:rsidRPr="00186E9D" w14:paraId="28B0A669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B77727F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2264" w:type="dxa"/>
            <w:shd w:val="clear" w:color="auto" w:fill="auto"/>
          </w:tcPr>
          <w:p w14:paraId="20704323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214 (34,24 %)</w:t>
            </w:r>
          </w:p>
        </w:tc>
        <w:tc>
          <w:tcPr>
            <w:tcW w:w="2835" w:type="dxa"/>
            <w:shd w:val="clear" w:color="auto" w:fill="auto"/>
          </w:tcPr>
          <w:p w14:paraId="0DCC56C2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 (33,48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%)</w:t>
            </w:r>
          </w:p>
        </w:tc>
        <w:tc>
          <w:tcPr>
            <w:tcW w:w="2693" w:type="dxa"/>
          </w:tcPr>
          <w:p w14:paraId="7328F710" w14:textId="77777777" w:rsidR="00AD5E75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243</w:t>
            </w:r>
          </w:p>
          <w:p w14:paraId="059B0F8F" w14:textId="77777777" w:rsidR="00976D70" w:rsidRPr="00186E9D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(34,3%)</w:t>
            </w:r>
          </w:p>
        </w:tc>
      </w:tr>
      <w:tr w:rsidR="00AD5E75" w:rsidRPr="00186E9D" w14:paraId="79BF3BF5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BECCC3C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2264" w:type="dxa"/>
            <w:shd w:val="clear" w:color="auto" w:fill="auto"/>
          </w:tcPr>
          <w:p w14:paraId="6663D537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86 (13,76%)</w:t>
            </w:r>
          </w:p>
        </w:tc>
        <w:tc>
          <w:tcPr>
            <w:tcW w:w="2835" w:type="dxa"/>
            <w:shd w:val="clear" w:color="auto" w:fill="auto"/>
          </w:tcPr>
          <w:p w14:paraId="1EF77A65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(12,47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2693" w:type="dxa"/>
          </w:tcPr>
          <w:p w14:paraId="171F3F3F" w14:textId="77777777" w:rsidR="00AD5E75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137</w:t>
            </w:r>
          </w:p>
          <w:p w14:paraId="24CA2376" w14:textId="77777777" w:rsidR="00976D70" w:rsidRPr="00186E9D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(19,4%)</w:t>
            </w:r>
          </w:p>
        </w:tc>
      </w:tr>
      <w:tr w:rsidR="00AD5E75" w:rsidRPr="00186E9D" w14:paraId="1D6D6576" w14:textId="77777777" w:rsidTr="00005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86C1AE5" w14:textId="77777777" w:rsidR="00AD5E75" w:rsidRPr="00186E9D" w:rsidRDefault="00AD5E75" w:rsidP="00B130EC">
            <w:pPr>
              <w:spacing w:after="0" w:line="223" w:lineRule="auto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2264" w:type="dxa"/>
            <w:shd w:val="clear" w:color="auto" w:fill="auto"/>
          </w:tcPr>
          <w:p w14:paraId="26508475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 </w:t>
            </w:r>
          </w:p>
          <w:p w14:paraId="79F637FE" w14:textId="77777777" w:rsidR="00AD5E75" w:rsidRPr="00186E9D" w:rsidRDefault="00AD5E75" w:rsidP="00B130EC">
            <w:pPr>
              <w:spacing w:after="0" w:line="223" w:lineRule="auto"/>
              <w:ind w:firstLine="4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(0,80%)</w:t>
            </w:r>
          </w:p>
        </w:tc>
        <w:tc>
          <w:tcPr>
            <w:tcW w:w="2835" w:type="dxa"/>
            <w:shd w:val="clear" w:color="auto" w:fill="auto"/>
          </w:tcPr>
          <w:p w14:paraId="75CF1404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43FCA53" w14:textId="77777777" w:rsidR="00AD5E75" w:rsidRPr="00186E9D" w:rsidRDefault="00AD5E75" w:rsidP="00B130EC">
            <w:pPr>
              <w:spacing w:after="0" w:line="223" w:lineRule="auto"/>
              <w:ind w:firstLine="3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(0,43</w:t>
            </w:r>
            <w:r w:rsidRPr="00186E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2693" w:type="dxa"/>
          </w:tcPr>
          <w:p w14:paraId="3E41A925" w14:textId="77777777" w:rsidR="00976D70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  <w:p w14:paraId="7802C5DB" w14:textId="77777777" w:rsidR="00AD5E75" w:rsidRDefault="00976D70" w:rsidP="00B130EC">
            <w:pPr>
              <w:spacing w:after="0" w:line="223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(0,5%)</w:t>
            </w:r>
          </w:p>
        </w:tc>
      </w:tr>
    </w:tbl>
    <w:p w14:paraId="3307D2EA" w14:textId="0938C82E" w:rsidR="00113F95" w:rsidRPr="00113F95" w:rsidRDefault="001313D9" w:rsidP="00C675B9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113F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Наибольшее количество участников, выбирающих предмет «</w:t>
      </w:r>
      <w:r w:rsidR="00036E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Английский язык</w:t>
      </w:r>
      <w:r w:rsidRPr="00113F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 для сдачи ОГЭ в 20</w:t>
      </w:r>
      <w:r w:rsidR="00036E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22</w:t>
      </w:r>
      <w:r w:rsidRPr="00113F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г., было в следующих муниципальных образованиях: г. Киров – 4</w:t>
      </w:r>
      <w:r w:rsidR="00036E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59</w:t>
      </w:r>
      <w:r w:rsid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человек</w:t>
      </w:r>
      <w:r w:rsidRPr="00113F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г. Кирово-Чепецк – </w:t>
      </w:r>
      <w:r w:rsidR="00036E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66</w:t>
      </w:r>
      <w:r w:rsid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человек</w:t>
      </w:r>
      <w:r w:rsidRPr="00113F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656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Омутнинский район – 24</w:t>
      </w:r>
      <w:r w:rsidR="00005B76" w:rsidRP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человек</w:t>
      </w:r>
      <w:r w:rsidR="007827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656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Малмыжский район – 14 </w:t>
      </w:r>
      <w:r w:rsid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человек, </w:t>
      </w:r>
      <w:r w:rsidR="00036E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г. Слободской – 23 </w:t>
      </w:r>
      <w:r w:rsid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человека</w:t>
      </w:r>
      <w:r w:rsidR="00656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Вятскополянский район</w:t>
      </w:r>
      <w:r w:rsidRPr="00113F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656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10 </w:t>
      </w:r>
      <w:r w:rsidR="00005B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человек</w:t>
      </w:r>
      <w:r w:rsidR="006565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4E333299" w14:textId="1E37C925" w:rsidR="001313D9" w:rsidRPr="00900AB0" w:rsidRDefault="001313D9" w:rsidP="00C675B9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участников, которые сдали ОГЭ по </w:t>
      </w:r>
      <w:r w:rsid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английскому</w:t>
      </w:r>
      <w:r w:rsidRPr="00113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языку, составило </w:t>
      </w:r>
      <w:r w:rsidR="008F5B61">
        <w:rPr>
          <w:rFonts w:ascii="Times New Roman" w:eastAsia="Times New Roman" w:hAnsi="Times New Roman" w:cs="Times New Roman"/>
          <w:sz w:val="28"/>
          <w:szCs w:val="28"/>
        </w:rPr>
        <w:t>708 чел</w:t>
      </w:r>
      <w:r w:rsidR="00782779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6164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3F95">
        <w:rPr>
          <w:rFonts w:ascii="Times New Roman" w:eastAsia="Times New Roman" w:hAnsi="Times New Roman" w:cs="Times New Roman"/>
          <w:sz w:val="28"/>
          <w:szCs w:val="28"/>
        </w:rPr>
        <w:t xml:space="preserve"> Не справились с экзаменом </w:t>
      </w:r>
      <w:r w:rsidR="008F5B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3F9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782779">
        <w:rPr>
          <w:rFonts w:ascii="Times New Roman" w:eastAsia="Times New Roman" w:hAnsi="Times New Roman" w:cs="Times New Roman"/>
          <w:sz w:val="28"/>
          <w:szCs w:val="28"/>
        </w:rPr>
        <w:t xml:space="preserve">овек </w:t>
      </w:r>
      <w:r w:rsidRPr="00113F9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02F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8F5B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2FE">
        <w:rPr>
          <w:rFonts w:ascii="Times New Roman" w:eastAsia="Times New Roman" w:hAnsi="Times New Roman" w:cs="Times New Roman"/>
          <w:sz w:val="28"/>
          <w:szCs w:val="28"/>
        </w:rPr>
        <w:t xml:space="preserve"> %).  </w:t>
      </w:r>
      <w:r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Выполнили задания на максимальный балл – </w:t>
      </w:r>
      <w:r w:rsidR="008F5B61"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</w:t>
      </w:r>
      <w:r w:rsidR="00782779"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Показали отличные знания по </w:t>
      </w:r>
      <w:r w:rsid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английскому</w:t>
      </w:r>
      <w:r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языку и получили за выполнение работы более 59 баллов – </w:t>
      </w:r>
      <w:r w:rsidR="00113F95"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 w:rsidRPr="008F5B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участника.</w:t>
      </w:r>
    </w:p>
    <w:p w14:paraId="1D28FE63" w14:textId="24161B90" w:rsidR="00900AB0" w:rsidRDefault="00900AB0" w:rsidP="00C67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AB0">
        <w:rPr>
          <w:rFonts w:ascii="Times New Roman" w:eastAsia="Times New Roman" w:hAnsi="Times New Roman" w:cs="Times New Roman"/>
          <w:sz w:val="28"/>
          <w:szCs w:val="28"/>
        </w:rPr>
        <w:t>В 2019 году 53,62% участников ОГЭ получили отметку «5», что на 7,82 % выше показателя этого года, 33,48% участников О</w:t>
      </w:r>
      <w:r w:rsidR="007F447A">
        <w:rPr>
          <w:rFonts w:ascii="Times New Roman" w:eastAsia="Times New Roman" w:hAnsi="Times New Roman" w:cs="Times New Roman"/>
          <w:sz w:val="28"/>
          <w:szCs w:val="28"/>
        </w:rPr>
        <w:t xml:space="preserve">ГЭ получили отметку «4», что на </w:t>
      </w:r>
      <w:r w:rsidRPr="00900AB0">
        <w:rPr>
          <w:rFonts w:ascii="Times New Roman" w:eastAsia="Times New Roman" w:hAnsi="Times New Roman" w:cs="Times New Roman"/>
          <w:sz w:val="28"/>
          <w:szCs w:val="28"/>
        </w:rPr>
        <w:t>0,82% ниже показателя 2022 года. Количество участников, получивших отметку «3» в 2022 году повысилось на 6,92%. 4 выпускника получили отметку «2» (в 2019 году – 3 человека), что составляет 0,52% и всего на 0,078% выше прошлогоднего показателя.</w:t>
      </w:r>
    </w:p>
    <w:p w14:paraId="48B3D788" w14:textId="77777777" w:rsidR="007B62BD" w:rsidRPr="007B62BD" w:rsidRDefault="007B62BD" w:rsidP="00C67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2BD">
        <w:rPr>
          <w:rFonts w:ascii="Times New Roman" w:eastAsia="Times New Roman" w:hAnsi="Times New Roman" w:cs="Times New Roman"/>
          <w:sz w:val="28"/>
          <w:szCs w:val="28"/>
        </w:rPr>
        <w:lastRenderedPageBreak/>
        <w:t>Лучшие результаты показали обучающиеся школ с углублённым изучением английского языка. Доля участников, получивших отметку «5», составила 59,7%.</w:t>
      </w:r>
    </w:p>
    <w:p w14:paraId="366065C2" w14:textId="77777777" w:rsidR="007B62BD" w:rsidRDefault="007B62BD" w:rsidP="00C675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2BD">
        <w:rPr>
          <w:rFonts w:ascii="Times New Roman" w:eastAsia="Times New Roman" w:hAnsi="Times New Roman" w:cs="Times New Roman"/>
          <w:sz w:val="28"/>
          <w:szCs w:val="28"/>
        </w:rPr>
        <w:t>Процент выполнивших экзаменационную работу на «4» и «5» – 91,7%.</w:t>
      </w:r>
    </w:p>
    <w:p w14:paraId="2B2C85CA" w14:textId="589DDFD6" w:rsidR="00AF5125" w:rsidRDefault="00291105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05">
        <w:rPr>
          <w:rFonts w:ascii="Times New Roman" w:eastAsia="Times New Roman" w:hAnsi="Times New Roman" w:cs="Times New Roman"/>
          <w:sz w:val="28"/>
          <w:szCs w:val="28"/>
        </w:rPr>
        <w:t xml:space="preserve">Выпускники 16 </w:t>
      </w:r>
      <w:r w:rsidR="007F447A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Pr="00291105">
        <w:rPr>
          <w:rFonts w:ascii="Times New Roman" w:eastAsia="Times New Roman" w:hAnsi="Times New Roman" w:cs="Times New Roman"/>
          <w:sz w:val="28"/>
          <w:szCs w:val="28"/>
        </w:rPr>
        <w:t xml:space="preserve"> показали наиболее высок</w:t>
      </w:r>
      <w:r w:rsidR="007F447A">
        <w:rPr>
          <w:rFonts w:ascii="Times New Roman" w:eastAsia="Times New Roman" w:hAnsi="Times New Roman" w:cs="Times New Roman"/>
          <w:sz w:val="28"/>
          <w:szCs w:val="28"/>
        </w:rPr>
        <w:t xml:space="preserve">ие результаты ОГЭ. В них </w:t>
      </w:r>
      <w:r w:rsidRPr="00291105">
        <w:rPr>
          <w:rFonts w:ascii="Times New Roman" w:eastAsia="Times New Roman" w:hAnsi="Times New Roman" w:cs="Times New Roman"/>
          <w:sz w:val="28"/>
          <w:szCs w:val="28"/>
        </w:rPr>
        <w:t>отсутствуют участники, получившие отметку «2». Доля участников, получивших отметки «4» и «5»</w:t>
      </w:r>
      <w:r w:rsidR="007F44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105">
        <w:rPr>
          <w:rFonts w:ascii="Times New Roman" w:eastAsia="Times New Roman" w:hAnsi="Times New Roman" w:cs="Times New Roman"/>
          <w:sz w:val="28"/>
          <w:szCs w:val="28"/>
        </w:rPr>
        <w:t xml:space="preserve"> в этих </w:t>
      </w:r>
      <w:r w:rsidR="007F447A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291105">
        <w:rPr>
          <w:rFonts w:ascii="Times New Roman" w:eastAsia="Times New Roman" w:hAnsi="Times New Roman" w:cs="Times New Roman"/>
          <w:sz w:val="28"/>
          <w:szCs w:val="28"/>
        </w:rPr>
        <w:t xml:space="preserve"> составляет 100 %.</w:t>
      </w:r>
    </w:p>
    <w:p w14:paraId="5E11FCCD" w14:textId="2F044D48" w:rsidR="00132B49" w:rsidRPr="000F0190" w:rsidRDefault="001313D9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</w:pPr>
      <w:r w:rsidRPr="00227D00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Высокие результаты по английскому языку показали следующие образовательные организации: </w:t>
      </w:r>
      <w:r w:rsid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КОГОАУ СШ пгт Арбаж, МБОУ СОШ с. Гордино Афанасьевского района, КОГОБУ СШ с УИОП г. Белая Холуница, КОГОБУ СШ с УИОП пгт Кикнур, МОКУ СОШ п. Бежбожник Мурашинского района, КОГОБУ СШ пгт Оричи, КОГОБУ СШ г. Орлова, МКОУ СОШ пгт. Пинюг Подосиновского района, МКОЙ СОШ с УИОП д. Стулово Слободского района, КОГОБУ СШ с УИОП пгт Мурыгино, КОГОАУ «Гимназия №1 г. Кирово-Чепецка», МБОУ СОШ с УИОП №2 управления образования г. Котельнич, </w:t>
      </w:r>
      <w:r w:rsidR="00DF5851" w:rsidRP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КОГОАУ ВГГ</w:t>
      </w:r>
      <w:r w:rsid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, </w:t>
      </w:r>
      <w:r w:rsidR="00DF5851" w:rsidRP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КОГОАУ КЭПЛ</w:t>
      </w:r>
      <w:r w:rsid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, </w:t>
      </w:r>
      <w:r w:rsidR="00DF5851" w:rsidRPr="00227D00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КОГОАУ ЛЕН</w:t>
      </w:r>
      <w:r w:rsid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,</w:t>
      </w:r>
      <w:r w:rsidR="00DF5851" w:rsidRPr="00DF5851">
        <w:t xml:space="preserve"> </w:t>
      </w:r>
      <w:r w:rsidR="00DF5851" w:rsidRP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МКОУ СОШ</w:t>
      </w:r>
      <w:r w:rsid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 №2</w:t>
      </w:r>
      <w:r w:rsidR="00DF5851" w:rsidRPr="00DF5851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 ЗАТО Первомайский Кировской области.</w:t>
      </w:r>
    </w:p>
    <w:p w14:paraId="18978139" w14:textId="77777777" w:rsidR="000F0190" w:rsidRDefault="000F0190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1C642AF7" w14:textId="26B8BF81" w:rsidR="001313D9" w:rsidRPr="000F0190" w:rsidRDefault="00FC7DE0" w:rsidP="00C675B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zh-CN"/>
        </w:rPr>
      </w:pPr>
      <w:r w:rsidRPr="000F019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Результаты ОГЭ по английскому языку в 20</w:t>
      </w:r>
      <w:r w:rsidR="00F7050B" w:rsidRPr="000F019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22</w:t>
      </w:r>
      <w:r w:rsidRPr="000F019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году</w:t>
      </w:r>
    </w:p>
    <w:p w14:paraId="0030D743" w14:textId="77777777" w:rsidR="000F0190" w:rsidRDefault="000F0190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</w:pPr>
    </w:p>
    <w:p w14:paraId="49D10472" w14:textId="07451485" w:rsidR="001313D9" w:rsidRPr="0027496F" w:rsidRDefault="001313D9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</w:pPr>
      <w:r w:rsidRPr="0027496F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Содержательный анализ результатов сдачи ОГЭ в 20</w:t>
      </w:r>
      <w:r w:rsidR="00F7050B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22</w:t>
      </w:r>
      <w:r w:rsidRPr="0027496F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 г</w:t>
      </w:r>
      <w:r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.</w:t>
      </w:r>
      <w:r w:rsidRPr="0027496F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 по английскому языку позволяет сделать вывод, что лучше всего участники справились с заданиями из разделов </w:t>
      </w:r>
      <w:r w:rsidR="008B5A19" w:rsidRPr="008B5A19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«Письмо»</w:t>
      </w:r>
      <w:r w:rsidR="008B5A19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,</w:t>
      </w:r>
      <w:r w:rsidR="008B5A19" w:rsidRPr="008B5A19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 </w:t>
      </w:r>
      <w:r w:rsidRPr="0027496F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«Аудирование»,</w:t>
      </w:r>
      <w:r w:rsidR="008B5A19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 xml:space="preserve"> «Говорение», </w:t>
      </w:r>
      <w:r w:rsidRPr="0027496F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«Чтение». Несколько ниже результаты выполнения заданий из раздела «Грамматика и лексика».</w:t>
      </w:r>
    </w:p>
    <w:p w14:paraId="72A46486" w14:textId="77777777" w:rsidR="00F55D46" w:rsidRPr="00F55D46" w:rsidRDefault="001313D9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186E9D">
        <w:rPr>
          <w:rFonts w:ascii="Times New Roman" w:eastAsia="Times New Roman" w:hAnsi="Times New Roman" w:cs="Calibri"/>
          <w:sz w:val="28"/>
          <w:szCs w:val="28"/>
          <w:lang w:eastAsia="zh-CN"/>
        </w:rPr>
        <w:t>Средний процент выполнения заданий по региону в разрезе разделов ОГЭ по английскому языку за 20</w:t>
      </w:r>
      <w:r w:rsidR="009C3ED1">
        <w:rPr>
          <w:rFonts w:ascii="Times New Roman" w:eastAsia="Times New Roman" w:hAnsi="Times New Roman" w:cs="Calibri"/>
          <w:sz w:val="28"/>
          <w:szCs w:val="28"/>
          <w:lang w:eastAsia="zh-CN"/>
        </w:rPr>
        <w:t>22</w:t>
      </w:r>
      <w:r w:rsidRPr="00186E9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г. представлен в таблице </w:t>
      </w:r>
      <w:r w:rsidR="00FC7DE0">
        <w:rPr>
          <w:rFonts w:ascii="Times New Roman" w:eastAsia="Times New Roman" w:hAnsi="Times New Roman" w:cs="Calibri"/>
          <w:sz w:val="28"/>
          <w:szCs w:val="28"/>
          <w:lang w:eastAsia="zh-CN"/>
        </w:rPr>
        <w:t>2</w:t>
      </w:r>
      <w:r w:rsidRPr="00186E9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</w:t>
      </w:r>
    </w:p>
    <w:p w14:paraId="5B598020" w14:textId="69899AB3" w:rsidR="00F55D46" w:rsidRPr="00FA2B78" w:rsidRDefault="001313D9" w:rsidP="00F81EDF">
      <w:pPr>
        <w:spacing w:before="240" w:line="240" w:lineRule="auto"/>
        <w:ind w:firstLine="709"/>
        <w:rPr>
          <w:rFonts w:ascii="Times New Roman" w:eastAsia="Times New Roman" w:hAnsi="Times New Roman" w:cs="Calibri"/>
          <w:sz w:val="28"/>
          <w:szCs w:val="24"/>
          <w:lang w:eastAsia="zh-CN"/>
        </w:rPr>
      </w:pPr>
      <w:r w:rsidRPr="00FA2B78">
        <w:rPr>
          <w:rFonts w:ascii="Times New Roman" w:eastAsia="Times New Roman" w:hAnsi="Times New Roman" w:cs="Calibri"/>
          <w:sz w:val="28"/>
          <w:szCs w:val="24"/>
          <w:lang w:eastAsia="zh-CN"/>
        </w:rPr>
        <w:t>Таблица 2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5"/>
        <w:gridCol w:w="649"/>
        <w:gridCol w:w="650"/>
        <w:gridCol w:w="650"/>
        <w:gridCol w:w="530"/>
        <w:gridCol w:w="702"/>
        <w:gridCol w:w="828"/>
        <w:gridCol w:w="844"/>
        <w:gridCol w:w="1194"/>
        <w:gridCol w:w="650"/>
        <w:gridCol w:w="650"/>
        <w:gridCol w:w="884"/>
      </w:tblGrid>
      <w:tr w:rsidR="00F55D46" w:rsidRPr="00227D00" w14:paraId="20F9FC97" w14:textId="77777777" w:rsidTr="001B438A">
        <w:trPr>
          <w:trHeight w:val="642"/>
          <w:jc w:val="center"/>
        </w:trPr>
        <w:tc>
          <w:tcPr>
            <w:tcW w:w="707" w:type="pct"/>
            <w:shd w:val="clear" w:color="auto" w:fill="auto"/>
          </w:tcPr>
          <w:p w14:paraId="13952731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017" w:type="pct"/>
            <w:gridSpan w:val="3"/>
            <w:shd w:val="clear" w:color="auto" w:fill="auto"/>
          </w:tcPr>
          <w:p w14:paraId="5C0D34ED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Аудирование</w:t>
            </w:r>
          </w:p>
        </w:tc>
        <w:tc>
          <w:tcPr>
            <w:tcW w:w="642" w:type="pct"/>
            <w:gridSpan w:val="2"/>
            <w:shd w:val="clear" w:color="auto" w:fill="auto"/>
          </w:tcPr>
          <w:p w14:paraId="01B455CC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Чтение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7E4C2396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Грамматика и лексика</w:t>
            </w:r>
          </w:p>
        </w:tc>
        <w:tc>
          <w:tcPr>
            <w:tcW w:w="623" w:type="pct"/>
            <w:shd w:val="clear" w:color="auto" w:fill="auto"/>
          </w:tcPr>
          <w:p w14:paraId="49FE1F57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1140" w:type="pct"/>
            <w:gridSpan w:val="3"/>
            <w:shd w:val="clear" w:color="auto" w:fill="auto"/>
          </w:tcPr>
          <w:p w14:paraId="3505221A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Устная часть</w:t>
            </w:r>
          </w:p>
        </w:tc>
      </w:tr>
      <w:tr w:rsidR="00F55D46" w:rsidRPr="00227D00" w14:paraId="72F128CC" w14:textId="77777777" w:rsidTr="001B438A">
        <w:trPr>
          <w:trHeight w:val="303"/>
          <w:jc w:val="center"/>
        </w:trPr>
        <w:tc>
          <w:tcPr>
            <w:tcW w:w="707" w:type="pct"/>
            <w:shd w:val="clear" w:color="auto" w:fill="auto"/>
          </w:tcPr>
          <w:p w14:paraId="315BE8B9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Задания</w:t>
            </w:r>
          </w:p>
        </w:tc>
        <w:tc>
          <w:tcPr>
            <w:tcW w:w="339" w:type="pct"/>
            <w:shd w:val="clear" w:color="auto" w:fill="auto"/>
          </w:tcPr>
          <w:p w14:paraId="2DFBE011" w14:textId="77777777" w:rsidR="00F55D46" w:rsidRPr="00CF601D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1B43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-4</w:t>
            </w:r>
          </w:p>
        </w:tc>
        <w:tc>
          <w:tcPr>
            <w:tcW w:w="339" w:type="pct"/>
            <w:shd w:val="clear" w:color="auto" w:fill="auto"/>
          </w:tcPr>
          <w:p w14:paraId="32CFC45E" w14:textId="77777777" w:rsidR="00F55D46" w:rsidRPr="00CF601D" w:rsidRDefault="001B438A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14:paraId="67AD1BF8" w14:textId="77777777" w:rsidR="00F55D46" w:rsidRPr="00CF601D" w:rsidRDefault="001B438A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="00F55D46"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76" w:type="pct"/>
            <w:shd w:val="clear" w:color="auto" w:fill="auto"/>
          </w:tcPr>
          <w:p w14:paraId="7716E06B" w14:textId="77777777" w:rsidR="00F55D46" w:rsidRPr="00CF601D" w:rsidRDefault="001B438A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5" w:type="pct"/>
            <w:shd w:val="clear" w:color="auto" w:fill="auto"/>
          </w:tcPr>
          <w:p w14:paraId="43AC5538" w14:textId="77777777" w:rsidR="00F55D46" w:rsidRPr="00CF601D" w:rsidRDefault="00F55D46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1B43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-1</w:t>
            </w:r>
            <w:r w:rsidR="001B43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32" w:type="pct"/>
            <w:shd w:val="clear" w:color="auto" w:fill="auto"/>
          </w:tcPr>
          <w:p w14:paraId="454E11FF" w14:textId="77777777" w:rsidR="00F55D46" w:rsidRPr="00CF601D" w:rsidRDefault="001B438A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="00F55D46"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14:paraId="5F153681" w14:textId="77777777" w:rsidR="00F55D46" w:rsidRPr="00CF601D" w:rsidRDefault="00F55D46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="001B43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-3</w:t>
            </w:r>
            <w:r w:rsidR="001B43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14:paraId="4BD8EF05" w14:textId="77777777" w:rsidR="00F55D46" w:rsidRPr="00CF601D" w:rsidRDefault="00F55D46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CF60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="001B43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14:paraId="5C566BD4" w14:textId="77777777" w:rsidR="00F55D46" w:rsidRPr="00CF601D" w:rsidRDefault="0069565E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9" w:type="pct"/>
            <w:shd w:val="clear" w:color="auto" w:fill="auto"/>
          </w:tcPr>
          <w:p w14:paraId="7A739C1F" w14:textId="77777777" w:rsidR="00F55D46" w:rsidRPr="00CF601D" w:rsidRDefault="0069565E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14:paraId="403957FC" w14:textId="77777777" w:rsidR="00F55D46" w:rsidRPr="00CF601D" w:rsidRDefault="0069565E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F55D46" w:rsidRPr="00227D00" w14:paraId="277B9AB8" w14:textId="77777777" w:rsidTr="001B438A">
        <w:trPr>
          <w:trHeight w:val="668"/>
          <w:jc w:val="center"/>
        </w:trPr>
        <w:tc>
          <w:tcPr>
            <w:tcW w:w="707" w:type="pct"/>
            <w:shd w:val="clear" w:color="auto" w:fill="auto"/>
          </w:tcPr>
          <w:p w14:paraId="28B71A8A" w14:textId="77777777" w:rsidR="00F55D46" w:rsidRPr="00227D00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Средний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процент</w:t>
            </w:r>
            <w:r w:rsidRPr="00227D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выполнения</w:t>
            </w:r>
          </w:p>
        </w:tc>
        <w:tc>
          <w:tcPr>
            <w:tcW w:w="339" w:type="pct"/>
            <w:shd w:val="clear" w:color="auto" w:fill="auto"/>
          </w:tcPr>
          <w:p w14:paraId="1381E080" w14:textId="77777777" w:rsidR="00F55D46" w:rsidRPr="00F55D46" w:rsidRDefault="001B438A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82,8</w:t>
            </w:r>
          </w:p>
        </w:tc>
        <w:tc>
          <w:tcPr>
            <w:tcW w:w="339" w:type="pct"/>
            <w:shd w:val="clear" w:color="auto" w:fill="auto"/>
          </w:tcPr>
          <w:p w14:paraId="788E4319" w14:textId="77777777" w:rsidR="00F55D46" w:rsidRPr="00227D00" w:rsidRDefault="001B438A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64,3</w:t>
            </w:r>
          </w:p>
        </w:tc>
        <w:tc>
          <w:tcPr>
            <w:tcW w:w="339" w:type="pct"/>
            <w:shd w:val="clear" w:color="auto" w:fill="auto"/>
          </w:tcPr>
          <w:p w14:paraId="04B1038E" w14:textId="77777777" w:rsidR="00F55D46" w:rsidRPr="00227D00" w:rsidRDefault="001B438A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76" w:type="pct"/>
            <w:shd w:val="clear" w:color="auto" w:fill="auto"/>
          </w:tcPr>
          <w:p w14:paraId="15E2209A" w14:textId="77777777" w:rsidR="00F55D46" w:rsidRPr="00227D00" w:rsidRDefault="00986D41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86D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  <w:r w:rsidR="001B43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Pr="00986D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,6</w:t>
            </w:r>
          </w:p>
        </w:tc>
        <w:tc>
          <w:tcPr>
            <w:tcW w:w="365" w:type="pct"/>
            <w:shd w:val="clear" w:color="auto" w:fill="auto"/>
          </w:tcPr>
          <w:p w14:paraId="1F096866" w14:textId="77777777" w:rsidR="00F55D46" w:rsidRPr="00227D00" w:rsidRDefault="001B438A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80,8</w:t>
            </w:r>
          </w:p>
          <w:p w14:paraId="46F6CA3A" w14:textId="77777777" w:rsidR="00F55D46" w:rsidRPr="00227D00" w:rsidRDefault="00F55D46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2" w:type="pct"/>
            <w:shd w:val="clear" w:color="auto" w:fill="auto"/>
          </w:tcPr>
          <w:p w14:paraId="04B8DD41" w14:textId="77777777" w:rsidR="00F55D46" w:rsidRPr="00227D00" w:rsidRDefault="00331DAF" w:rsidP="001B438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71,</w:t>
            </w:r>
            <w:r w:rsidR="001B43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14:paraId="430CB358" w14:textId="77777777" w:rsidR="00F55D46" w:rsidRPr="00227D00" w:rsidRDefault="001B438A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623" w:type="pct"/>
            <w:shd w:val="clear" w:color="auto" w:fill="auto"/>
          </w:tcPr>
          <w:p w14:paraId="594921AA" w14:textId="77777777" w:rsidR="00F55D46" w:rsidRPr="00227D00" w:rsidRDefault="00993D42" w:rsidP="00975298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  <w:r w:rsidR="009752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="0097529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14:paraId="659D69C5" w14:textId="77777777" w:rsidR="00F55D46" w:rsidRPr="00227D00" w:rsidRDefault="009C3ED1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96,1</w:t>
            </w:r>
          </w:p>
        </w:tc>
        <w:tc>
          <w:tcPr>
            <w:tcW w:w="339" w:type="pct"/>
            <w:shd w:val="clear" w:color="auto" w:fill="auto"/>
          </w:tcPr>
          <w:p w14:paraId="62EFA3CC" w14:textId="77777777" w:rsidR="00F55D46" w:rsidRPr="00227D00" w:rsidRDefault="009C3ED1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56,6</w:t>
            </w:r>
          </w:p>
        </w:tc>
        <w:tc>
          <w:tcPr>
            <w:tcW w:w="462" w:type="pct"/>
            <w:shd w:val="clear" w:color="auto" w:fill="auto"/>
          </w:tcPr>
          <w:p w14:paraId="1E6BC545" w14:textId="77777777" w:rsidR="00F55D46" w:rsidRPr="00227D00" w:rsidRDefault="009C3ED1" w:rsidP="00E9190A">
            <w:pPr>
              <w:suppressLineNumbers/>
              <w:suppressAutoHyphens/>
              <w:spacing w:after="0" w:line="223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89,7</w:t>
            </w:r>
          </w:p>
        </w:tc>
      </w:tr>
    </w:tbl>
    <w:p w14:paraId="0DC9F71F" w14:textId="3D245222" w:rsidR="001313D9" w:rsidRPr="00227D00" w:rsidRDefault="001313D9" w:rsidP="001313D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181A28B8" w14:textId="77777777" w:rsidR="001313D9" w:rsidRDefault="001313D9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227D0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Анализ выполнения заданий раздела «Аудирование» </w:t>
      </w:r>
    </w:p>
    <w:p w14:paraId="17C4D5CF" w14:textId="77777777" w:rsidR="00EB6CF5" w:rsidRDefault="00EB6CF5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98E71F" w14:textId="356FA976" w:rsidR="001313D9" w:rsidRPr="00227D00" w:rsidRDefault="001313D9" w:rsidP="00C67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разделе «Аудирование» были представлены:</w:t>
      </w:r>
    </w:p>
    <w:p w14:paraId="0AE766A8" w14:textId="316AA34A" w:rsidR="001313D9" w:rsidRPr="00C675B9" w:rsidRDefault="001313D9" w:rsidP="00C675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задание базового уровня на </w:t>
      </w:r>
      <w:r w:rsidR="00A705F4"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в прослушанном тексте запрашиваемой информации</w:t>
      </w: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A59FF10" w14:textId="6204FF8B" w:rsidR="001313D9" w:rsidRPr="00C675B9" w:rsidRDefault="001313D9" w:rsidP="00C675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задание </w:t>
      </w:r>
      <w:r w:rsidR="000A536D"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базового</w:t>
      </w: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уровня на понимание </w:t>
      </w:r>
      <w:r w:rsidR="000A536D"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основного содержания прослушанного текста</w:t>
      </w: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99B0652" w14:textId="6492BD9D" w:rsidR="001313D9" w:rsidRPr="00C675B9" w:rsidRDefault="000A536D" w:rsidP="00C675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задание</w:t>
      </w:r>
      <w:r w:rsidR="001313D9"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повышенного</w:t>
      </w:r>
      <w:r w:rsidR="001313D9"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уровня на полное понимание </w:t>
      </w:r>
      <w:r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прослушанном тексте запрашиваемой информации и представление её в виде несплошного текста (таблицы)</w:t>
      </w:r>
      <w:r w:rsidR="001313D9" w:rsidRPr="00C67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77E02E3" w14:textId="34333617" w:rsidR="00F81EDF" w:rsidRDefault="00F81EDF" w:rsidP="00F81EDF">
      <w:pPr>
        <w:spacing w:before="240"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3</w:t>
      </w:r>
    </w:p>
    <w:p w14:paraId="5C3EDDDD" w14:textId="77777777" w:rsidR="00EB6CF5" w:rsidRPr="00227D00" w:rsidRDefault="00EB6CF5" w:rsidP="000A536D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1567"/>
        <w:gridCol w:w="4463"/>
        <w:gridCol w:w="1579"/>
        <w:gridCol w:w="807"/>
        <w:gridCol w:w="145"/>
        <w:gridCol w:w="951"/>
      </w:tblGrid>
      <w:tr w:rsidR="001313D9" w:rsidRPr="00EB6CF5" w14:paraId="0BA0C98D" w14:textId="77777777" w:rsidTr="00E9190A">
        <w:trPr>
          <w:trHeight w:val="1192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E34C7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Обозначение</w:t>
            </w:r>
          </w:p>
          <w:p w14:paraId="324BB0F4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  <w:p w14:paraId="1CD04175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2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BDD8C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F3EF7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Уровень сложности задания</w:t>
            </w:r>
          </w:p>
          <w:p w14:paraId="36BF745B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F8CBD" w14:textId="77777777" w:rsidR="001313D9" w:rsidRPr="00EB6CF5" w:rsidRDefault="001313D9" w:rsidP="00E9190A">
            <w:pPr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</w:t>
            </w:r>
          </w:p>
          <w:p w14:paraId="40272C04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задания</w:t>
            </w:r>
          </w:p>
          <w:p w14:paraId="39D06ADF" w14:textId="77777777" w:rsidR="001313D9" w:rsidRPr="00EB6CF5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7A1D06" w:rsidRPr="00EB6CF5" w14:paraId="4644993F" w14:textId="77777777" w:rsidTr="00F81EDF">
        <w:trPr>
          <w:trHeight w:val="481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0E636" w14:textId="77777777" w:rsidR="007A1D06" w:rsidRPr="00EB6CF5" w:rsidRDefault="007A1D06" w:rsidP="00130215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A6C841A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в прослушанном тексте запрашиваемой информации</w:t>
            </w:r>
          </w:p>
        </w:tc>
        <w:tc>
          <w:tcPr>
            <w:tcW w:w="830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014B528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6A5F5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3C98D74" w14:textId="77777777" w:rsidR="007A1D06" w:rsidRPr="00EB6CF5" w:rsidRDefault="007A1D06" w:rsidP="00130215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B6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82,8</w:t>
            </w:r>
          </w:p>
        </w:tc>
      </w:tr>
      <w:tr w:rsidR="007A1D06" w:rsidRPr="00EB6CF5" w14:paraId="2530AF84" w14:textId="77777777" w:rsidTr="00F81EDF">
        <w:trPr>
          <w:trHeight w:val="481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B7D443" w14:textId="77777777" w:rsidR="007A1D06" w:rsidRPr="00EB6CF5" w:rsidRDefault="007A1D06" w:rsidP="00130215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3756E808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1C103EA5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FB36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75,8</w:t>
            </w:r>
          </w:p>
        </w:tc>
        <w:tc>
          <w:tcPr>
            <w:tcW w:w="50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F951418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0007F5FE" w14:textId="77777777" w:rsidTr="00F81EDF">
        <w:trPr>
          <w:trHeight w:val="481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A29C7" w14:textId="77777777" w:rsidR="007A1D06" w:rsidRPr="00EB6CF5" w:rsidRDefault="007A1D06" w:rsidP="00130215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01B1946F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14981156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DCDC3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74,9</w:t>
            </w:r>
          </w:p>
        </w:tc>
        <w:tc>
          <w:tcPr>
            <w:tcW w:w="50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2B8130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2E4BC85A" w14:textId="77777777" w:rsidTr="00F81EDF">
        <w:trPr>
          <w:trHeight w:val="481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74C5CC" w14:textId="77777777" w:rsidR="007A1D06" w:rsidRPr="00EB6CF5" w:rsidRDefault="007A1D06" w:rsidP="00130215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5099D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E9FBB" w14:textId="77777777" w:rsidR="007A1D06" w:rsidRPr="00EB6CF5" w:rsidRDefault="007A1D06" w:rsidP="00130215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29EA6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D3EB7" w14:textId="77777777" w:rsidR="007A1D06" w:rsidRPr="00EB6CF5" w:rsidRDefault="007A1D06" w:rsidP="00130215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D9" w:rsidRPr="00EB6CF5" w14:paraId="18247AE1" w14:textId="77777777" w:rsidTr="00E9190A">
        <w:trPr>
          <w:trHeight w:val="481"/>
        </w:trPr>
        <w:tc>
          <w:tcPr>
            <w:tcW w:w="8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1DE51" w14:textId="77777777" w:rsidR="001313D9" w:rsidRPr="00EB6CF5" w:rsidRDefault="007A1D06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CA970D" w14:textId="77777777" w:rsidR="001313D9" w:rsidRPr="00EB6CF5" w:rsidRDefault="001313D9" w:rsidP="00E9190A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Понимание </w:t>
            </w:r>
            <w:r w:rsidR="00641849"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основного содержания прослушанного текста</w:t>
            </w:r>
          </w:p>
        </w:tc>
        <w:tc>
          <w:tcPr>
            <w:tcW w:w="8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1AE75" w14:textId="77777777" w:rsidR="001313D9" w:rsidRPr="00EB6CF5" w:rsidRDefault="007A1D06" w:rsidP="00E9190A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E8515" w14:textId="77777777" w:rsidR="001313D9" w:rsidRPr="00EB6CF5" w:rsidRDefault="00641849" w:rsidP="00E9190A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B6CF5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</w:tr>
      <w:tr w:rsidR="007A1D06" w:rsidRPr="00EB6CF5" w14:paraId="5F5F7E4B" w14:textId="77777777" w:rsidTr="00F81EDF">
        <w:trPr>
          <w:trHeight w:val="481"/>
        </w:trPr>
        <w:tc>
          <w:tcPr>
            <w:tcW w:w="8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8AD424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6" w:type="pct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95114" w14:textId="77777777" w:rsidR="007A1D06" w:rsidRPr="00EB6CF5" w:rsidRDefault="007A1D06" w:rsidP="008F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Понимание </w:t>
            </w:r>
            <w:r w:rsidR="008F604E"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прослушанном тексте запрашиваемой информации и представление её в виде несплошного текста (таблицы)</w:t>
            </w:r>
          </w:p>
        </w:tc>
        <w:tc>
          <w:tcPr>
            <w:tcW w:w="830" w:type="pct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A84A99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2C3B9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576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B5884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EB6CF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7A1D06" w:rsidRPr="00EB6CF5" w14:paraId="55B76E8D" w14:textId="77777777" w:rsidTr="00F81EDF">
        <w:trPr>
          <w:trHeight w:val="481"/>
        </w:trPr>
        <w:tc>
          <w:tcPr>
            <w:tcW w:w="8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CE1E1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25E63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BDA4C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289D3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75,3</w:t>
            </w:r>
          </w:p>
        </w:tc>
        <w:tc>
          <w:tcPr>
            <w:tcW w:w="5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E3301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1F211FFE" w14:textId="77777777" w:rsidTr="00F81EDF">
        <w:trPr>
          <w:trHeight w:val="481"/>
        </w:trPr>
        <w:tc>
          <w:tcPr>
            <w:tcW w:w="8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18F21C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D19AD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EE548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EB00F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72,8</w:t>
            </w:r>
          </w:p>
        </w:tc>
        <w:tc>
          <w:tcPr>
            <w:tcW w:w="5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4EC10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02965678" w14:textId="77777777" w:rsidTr="00F81EDF">
        <w:trPr>
          <w:trHeight w:val="481"/>
        </w:trPr>
        <w:tc>
          <w:tcPr>
            <w:tcW w:w="8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5289E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840AF8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59034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9F900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91,2</w:t>
            </w:r>
          </w:p>
        </w:tc>
        <w:tc>
          <w:tcPr>
            <w:tcW w:w="5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F2543D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5E91CEC1" w14:textId="77777777" w:rsidTr="00F81EDF">
        <w:trPr>
          <w:trHeight w:val="481"/>
        </w:trPr>
        <w:tc>
          <w:tcPr>
            <w:tcW w:w="8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FF6CF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C4C67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7BD6CC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3EC1F9D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94,9</w:t>
            </w:r>
          </w:p>
        </w:tc>
        <w:tc>
          <w:tcPr>
            <w:tcW w:w="5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572CD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5B8BDECC" w14:textId="77777777" w:rsidTr="00F81EDF">
        <w:trPr>
          <w:trHeight w:val="481"/>
        </w:trPr>
        <w:tc>
          <w:tcPr>
            <w:tcW w:w="824" w:type="pct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AB5A95E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462F3A2A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72DE2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7FBAA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E63F3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D4E27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D06" w:rsidRPr="00EB6CF5" w14:paraId="35769B7E" w14:textId="77777777" w:rsidTr="00F81EDF">
        <w:trPr>
          <w:trHeight w:val="481"/>
        </w:trPr>
        <w:tc>
          <w:tcPr>
            <w:tcW w:w="824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EF0D88" w14:textId="77777777" w:rsidR="007A1D06" w:rsidRPr="00EB6CF5" w:rsidRDefault="007A1D06" w:rsidP="007A1D06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E6D095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DCA41F" w14:textId="77777777" w:rsidR="007A1D06" w:rsidRPr="00EB6CF5" w:rsidRDefault="007A1D06" w:rsidP="007A1D06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0F163" w14:textId="77777777" w:rsidR="007A1D06" w:rsidRPr="00EB6CF5" w:rsidRDefault="007A1D06" w:rsidP="007A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6C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5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91850" w14:textId="77777777" w:rsidR="007A1D06" w:rsidRPr="00EB6CF5" w:rsidRDefault="007A1D06" w:rsidP="007A1D06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F9C8E0" w14:textId="57774D26" w:rsidR="001313D9" w:rsidRPr="00845F06" w:rsidRDefault="001313D9" w:rsidP="00C675B9">
      <w:pPr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Анализ результатов показывает, что большинство участников ОГЭ по английскому языку успешно справляются с этим разделом. </w:t>
      </w:r>
      <w:r w:rsidR="001F087B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2D7972"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1F08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средний процент выполнения з</w:t>
      </w:r>
      <w:r w:rsidR="009D63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адания из раздела «Аудирование» составил </w:t>
      </w:r>
      <w:r w:rsidR="00C94348">
        <w:rPr>
          <w:rFonts w:ascii="Times New Roman" w:eastAsia="Calibri" w:hAnsi="Times New Roman" w:cs="Times New Roman"/>
          <w:sz w:val="28"/>
          <w:szCs w:val="28"/>
          <w:lang w:eastAsia="zh-CN"/>
        </w:rPr>
        <w:t>76,3</w:t>
      </w:r>
      <w:r w:rsidR="00A369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2%. </w:t>
      </w:r>
      <w:r w:rsidR="00A369BE" w:rsidRPr="00A369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Однако участники экзамена испытывали определенные затруднения при выполнении задания </w:t>
      </w:r>
      <w:r w:rsidR="00A369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базового уровня </w:t>
      </w:r>
      <w:r w:rsidR="00A369BE" w:rsidRPr="00A369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 – понимание </w:t>
      </w:r>
      <w:r w:rsidR="009D63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основного содержания </w:t>
      </w:r>
      <w:r w:rsidR="00A369BE" w:rsidRPr="00A369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прослушанного (средний процент выполнения всего задания </w:t>
      </w:r>
      <w:r w:rsidR="009D635A">
        <w:rPr>
          <w:rFonts w:ascii="Times New Roman" w:eastAsia="Calibri" w:hAnsi="Times New Roman" w:cs="Times New Roman"/>
          <w:sz w:val="28"/>
          <w:szCs w:val="28"/>
          <w:lang w:eastAsia="zh-CN"/>
        </w:rPr>
        <w:t>–</w:t>
      </w:r>
      <w:r w:rsidR="00A369BE" w:rsidRPr="00A369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369BE">
        <w:rPr>
          <w:rFonts w:ascii="Times New Roman" w:eastAsia="Calibri" w:hAnsi="Times New Roman" w:cs="Times New Roman"/>
          <w:sz w:val="28"/>
          <w:szCs w:val="28"/>
          <w:lang w:eastAsia="zh-CN"/>
        </w:rPr>
        <w:t>64</w:t>
      </w:r>
      <w:r w:rsidR="00A369BE" w:rsidRPr="00A369BE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A369BE">
        <w:rPr>
          <w:rFonts w:ascii="Times New Roman" w:eastAsia="Calibri" w:hAnsi="Times New Roman" w:cs="Times New Roman"/>
          <w:sz w:val="28"/>
          <w:szCs w:val="28"/>
          <w:lang w:eastAsia="zh-CN"/>
        </w:rPr>
        <w:t>3%</w:t>
      </w:r>
      <w:r w:rsidR="009D635A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A369BE">
        <w:rPr>
          <w:rFonts w:ascii="Times New Roman" w:eastAsia="Calibri" w:hAnsi="Times New Roman" w:cs="Times New Roman"/>
          <w:sz w:val="28"/>
          <w:szCs w:val="28"/>
          <w:lang w:eastAsia="zh-CN"/>
        </w:rPr>
        <w:t>. Э</w:t>
      </w:r>
      <w:r w:rsidR="00A369BE" w:rsidRPr="00A369BE">
        <w:rPr>
          <w:rFonts w:ascii="Times New Roman" w:eastAsia="Calibri" w:hAnsi="Times New Roman" w:cs="Times New Roman"/>
          <w:sz w:val="28"/>
          <w:szCs w:val="28"/>
          <w:lang w:eastAsia="zh-CN"/>
        </w:rPr>
        <w:t>кзаменуемые при выборе ответа опираются не на смысл текста, а на отдельные слова и словосочетания и не учитывают тот факт, что иногда в вариантах ответа даются перифразы, синонимы, антонимы.</w:t>
      </w:r>
      <w:r w:rsidR="00845F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45F06" w:rsidRPr="00845F06">
        <w:rPr>
          <w:rFonts w:ascii="Times New Roman" w:eastAsia="Calibri" w:hAnsi="Times New Roman" w:cs="Times New Roman"/>
          <w:sz w:val="28"/>
          <w:szCs w:val="28"/>
          <w:lang w:eastAsia="zh-CN"/>
        </w:rPr>
        <w:t>Данное задание требовало умений работать с информацией, т.е. не только предметных умений, но и метапредметных: анализировать, сопоставлять, делать выводы.</w:t>
      </w:r>
      <w:r w:rsidR="004B5E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8082A">
        <w:rPr>
          <w:rFonts w:ascii="Times New Roman" w:eastAsia="Calibri" w:hAnsi="Times New Roman" w:cs="Times New Roman"/>
          <w:sz w:val="28"/>
          <w:szCs w:val="28"/>
          <w:lang w:eastAsia="zh-CN"/>
        </w:rPr>
        <w:t>Успешно экзаменуемые справились с з</w:t>
      </w:r>
      <w:r w:rsidR="004B5ECF">
        <w:rPr>
          <w:rFonts w:ascii="Times New Roman" w:eastAsia="Calibri" w:hAnsi="Times New Roman" w:cs="Times New Roman"/>
          <w:sz w:val="28"/>
          <w:szCs w:val="28"/>
          <w:lang w:eastAsia="zh-CN"/>
        </w:rPr>
        <w:t>адание</w:t>
      </w:r>
      <w:r w:rsidR="0028082A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="004B5E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повышенного уровня (п</w:t>
      </w:r>
      <w:r w:rsidR="004B5ECF" w:rsidRPr="004B5ECF">
        <w:rPr>
          <w:rFonts w:ascii="Times New Roman" w:eastAsia="Calibri" w:hAnsi="Times New Roman" w:cs="Times New Roman"/>
          <w:sz w:val="28"/>
          <w:szCs w:val="28"/>
          <w:lang w:eastAsia="zh-CN"/>
        </w:rPr>
        <w:t>онимание в прослушанном тексте запрашиваемой информации и представление её в виде несплошного текста (таблицы)</w:t>
      </w:r>
      <w:r w:rsidR="004B5ECF">
        <w:rPr>
          <w:rFonts w:ascii="Times New Roman" w:eastAsia="Calibri" w:hAnsi="Times New Roman" w:cs="Times New Roman"/>
          <w:sz w:val="28"/>
          <w:szCs w:val="28"/>
          <w:lang w:eastAsia="zh-CN"/>
        </w:rPr>
        <w:t>) – 82%.</w:t>
      </w:r>
      <w:r w:rsidR="00845F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479C202D" w14:textId="77777777" w:rsidR="0028082A" w:rsidRDefault="0028082A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B8B4047" w14:textId="77777777" w:rsidR="001313D9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Анализ выполнения заданий раздела «Чтение» </w:t>
      </w:r>
    </w:p>
    <w:p w14:paraId="66AB0C0D" w14:textId="77777777" w:rsidR="008E1D04" w:rsidRDefault="008E1D04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82DCD25" w14:textId="6871893E" w:rsidR="001313D9" w:rsidRPr="00227D00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>В разделе «Чтение» были представлены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задания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5023C6C1" w14:textId="0DE4F8B8" w:rsidR="001313D9" w:rsidRPr="00227D00" w:rsidRDefault="001313D9" w:rsidP="00C675B9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задание </w:t>
      </w:r>
      <w:r w:rsidR="006429CF">
        <w:rPr>
          <w:rFonts w:ascii="Times New Roman" w:eastAsia="Calibri" w:hAnsi="Times New Roman" w:cs="Times New Roman"/>
          <w:sz w:val="28"/>
          <w:szCs w:val="28"/>
          <w:lang w:eastAsia="zh-CN"/>
        </w:rPr>
        <w:t>базового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уровня сложности на понимание основного содержания прочитанного текста;</w:t>
      </w:r>
    </w:p>
    <w:p w14:paraId="3A7359BD" w14:textId="45F6D181" w:rsidR="001313D9" w:rsidRDefault="001313D9" w:rsidP="00C675B9">
      <w:pPr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задание </w:t>
      </w:r>
      <w:r w:rsidR="006429CF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повышенного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уровня сложности на понимание в прочитанном тексте запрашиваемой информации.</w:t>
      </w:r>
    </w:p>
    <w:p w14:paraId="4E91B69E" w14:textId="701654F0" w:rsidR="00F81EDF" w:rsidRPr="008E1D04" w:rsidRDefault="00F81EDF" w:rsidP="008E1D04">
      <w:pPr>
        <w:numPr>
          <w:ilvl w:val="0"/>
          <w:numId w:val="1"/>
        </w:numPr>
        <w:suppressAutoHyphens/>
        <w:spacing w:line="223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Таблица 4</w:t>
      </w: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1560"/>
        <w:gridCol w:w="4456"/>
        <w:gridCol w:w="1317"/>
        <w:gridCol w:w="1093"/>
        <w:gridCol w:w="982"/>
      </w:tblGrid>
      <w:tr w:rsidR="001313D9" w:rsidRPr="00227D00" w14:paraId="4DB94752" w14:textId="77777777" w:rsidTr="00B575C3">
        <w:trPr>
          <w:trHeight w:val="858"/>
        </w:trPr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67356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Обозначение</w:t>
            </w:r>
          </w:p>
          <w:p w14:paraId="07C3959E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задания</w:t>
            </w:r>
          </w:p>
          <w:p w14:paraId="754F8D1C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E56CA7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5F15A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Уровень сложности задания</w:t>
            </w:r>
          </w:p>
          <w:p w14:paraId="3888C364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CA7EB" w14:textId="77777777" w:rsidR="001313D9" w:rsidRPr="00227D00" w:rsidRDefault="001313D9" w:rsidP="00E9190A">
            <w:pPr>
              <w:suppressAutoHyphens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процент</w:t>
            </w:r>
          </w:p>
          <w:p w14:paraId="6D82E558" w14:textId="7422F74E" w:rsidR="001313D9" w:rsidRPr="00227D00" w:rsidRDefault="008E1D04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14:paraId="51A54E4A" w14:textId="77777777" w:rsidR="001313D9" w:rsidRPr="00227D00" w:rsidRDefault="001313D9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1313D9" w:rsidRPr="00227D00" w14:paraId="2FC26187" w14:textId="77777777" w:rsidTr="00B575C3">
        <w:trPr>
          <w:trHeight w:val="235"/>
        </w:trPr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F1F7D8" w14:textId="77777777" w:rsidR="001313D9" w:rsidRPr="00227D00" w:rsidRDefault="006429CF" w:rsidP="00E9190A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DF840" w14:textId="77777777" w:rsidR="001313D9" w:rsidRPr="00227D00" w:rsidRDefault="001313D9" w:rsidP="00E9190A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основного содержания текста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9A6D6" w14:textId="77777777" w:rsidR="001313D9" w:rsidRPr="00227D00" w:rsidRDefault="00D32FD3" w:rsidP="00E9190A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235AF" w14:textId="77777777" w:rsidR="001313D9" w:rsidRPr="00D35244" w:rsidRDefault="00EC6780" w:rsidP="00B45455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7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454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6780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</w:tr>
      <w:tr w:rsidR="00B575C3" w:rsidRPr="00227D00" w14:paraId="44D661B5" w14:textId="77777777" w:rsidTr="00B575C3">
        <w:trPr>
          <w:trHeight w:val="329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4418C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8" w:type="pct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3CF378F8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в прочитанном тексте запрашиваемой информации</w:t>
            </w:r>
          </w:p>
          <w:p w14:paraId="63748527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2518D1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235AFC5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4C1A1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522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BA505A5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</w:tr>
      <w:tr w:rsidR="00B575C3" w:rsidRPr="00227D00" w14:paraId="1C3A9972" w14:textId="77777777" w:rsidTr="00B575C3">
        <w:trPr>
          <w:trHeight w:val="263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6F43A1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8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1A826064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16B89B32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68FDA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9696AFF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</w:tr>
      <w:tr w:rsidR="00B575C3" w:rsidRPr="00227D00" w14:paraId="7AC0AE69" w14:textId="77777777" w:rsidTr="00B575C3">
        <w:trPr>
          <w:trHeight w:val="254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D77F8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7890187E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4B088AD7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337B1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93C561E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5C3" w:rsidRPr="00227D00" w14:paraId="0A2B3041" w14:textId="77777777" w:rsidTr="00B575C3">
        <w:trPr>
          <w:trHeight w:val="257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FF977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8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2D4225DF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5DB3951B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C1662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6A384D1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5C3" w:rsidRPr="00227D00" w14:paraId="2A84643D" w14:textId="77777777" w:rsidTr="00B575C3">
        <w:trPr>
          <w:trHeight w:val="262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E6D76D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8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73E331B5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6DF6E709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A2EE5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5B5CCF4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5C3" w:rsidRPr="00227D00" w14:paraId="182D5D6F" w14:textId="77777777" w:rsidTr="00B575C3">
        <w:trPr>
          <w:trHeight w:val="252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064975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8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703CEA6A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6BF9C756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11E8F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0DE3893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5C3" w:rsidRPr="00227D00" w14:paraId="34E90FB8" w14:textId="77777777" w:rsidTr="00B575C3">
        <w:trPr>
          <w:trHeight w:val="283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6632E2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8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2EBACD7D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</w:tcBorders>
            <w:shd w:val="clear" w:color="auto" w:fill="auto"/>
          </w:tcPr>
          <w:p w14:paraId="4F69EF87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6F3F2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19965F4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5C3" w:rsidRPr="00227D00" w14:paraId="0C17CF03" w14:textId="77777777" w:rsidTr="00B575C3">
        <w:trPr>
          <w:trHeight w:val="260"/>
        </w:trPr>
        <w:tc>
          <w:tcPr>
            <w:tcW w:w="82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CC3A8" w14:textId="77777777" w:rsidR="00B575C3" w:rsidRPr="00227D00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8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BAFE9D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C6AD2B" w14:textId="77777777" w:rsidR="00B575C3" w:rsidRPr="00227D00" w:rsidRDefault="00B575C3" w:rsidP="00B575C3">
            <w:pPr>
              <w:suppressAutoHyphens/>
              <w:autoSpaceDE w:val="0"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E262F" w14:textId="77777777" w:rsidR="00B575C3" w:rsidRPr="00B575C3" w:rsidRDefault="00B575C3" w:rsidP="00B575C3">
            <w:pPr>
              <w:suppressAutoHyphens/>
              <w:autoSpaceDE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5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BB191" w14:textId="77777777" w:rsidR="00B575C3" w:rsidRPr="00227D00" w:rsidRDefault="00B575C3" w:rsidP="00B575C3">
            <w:pPr>
              <w:suppressAutoHyphens/>
              <w:snapToGrid w:val="0"/>
              <w:spacing w:after="0" w:line="22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9EE685" w14:textId="2396CE9A" w:rsidR="001E2527" w:rsidRDefault="001313D9" w:rsidP="00C675B9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227D0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Анализ результатов показывает, что большинство участников ОГЭ по английскому языку более успешно справляются с этим разделом. </w:t>
      </w:r>
      <w:r w:rsidR="00BE0E1F" w:rsidRPr="00BE0E1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 20</w:t>
      </w:r>
      <w:r w:rsid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20</w:t>
      </w:r>
      <w:r w:rsidR="00BE0E1F" w:rsidRPr="00BE0E1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году средний процент выполнения задания из раздела «</w:t>
      </w:r>
      <w:r w:rsidR="00BE0E1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Чтение</w:t>
      </w:r>
      <w:r w:rsidR="00BE0E1F" w:rsidRPr="00BE0E1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» </w:t>
      </w:r>
      <w:r w:rsidR="008E1D0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составил</w:t>
      </w:r>
      <w:r w:rsid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</w:t>
      </w:r>
      <w:r w:rsidR="001E2527" w:rsidRP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8</w:t>
      </w:r>
      <w:r w:rsid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6</w:t>
      </w:r>
      <w:r w:rsidR="001E2527" w:rsidRP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</w:t>
      </w:r>
      <w:r w:rsid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7%. </w:t>
      </w:r>
      <w:r w:rsidR="001E2527" w:rsidRP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Процент выполнения задания 12 базового уровня </w:t>
      </w:r>
      <w:r w:rsidR="008E1D0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– </w:t>
      </w:r>
      <w:r w:rsidR="001E2527" w:rsidRP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92,6%. </w:t>
      </w:r>
      <w:r w:rsidR="008E1D0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Также </w:t>
      </w:r>
      <w:r w:rsid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успешно экзаменуемые справляются с заданием </w:t>
      </w:r>
      <w:r w:rsidR="001E2527" w:rsidRP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13-19 (повышенный уровень сложности)</w:t>
      </w:r>
      <w:r w:rsidR="001E252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– 80,8%</w:t>
      </w:r>
      <w:r w:rsidR="00212CBE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. </w:t>
      </w:r>
      <w:r w:rsidR="00212CBE" w:rsidRPr="00212CBE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Ошибки при выполнении заданий данного раздела аналогичны ошибкам, которые участники допускают в разделе «Аудирование». В основном, это объясняется тем, что эти два вида речевой деятельности являются рецептивными и имеют в своей основе схожие механизмы восприятия и осмысления текстов. Особого внимания требует отработка механизмов восприятия зрительных текстов. При подготовке рекомендуется опираться на пошаговый подход, помогающий постепенно формировать микроумения стратегий работы с текстом в зависимости от вида чтения (ознакомительное, просмотровое, поисковое, изучающее).</w:t>
      </w:r>
    </w:p>
    <w:p w14:paraId="1BFE6119" w14:textId="77777777" w:rsidR="00212CBE" w:rsidRDefault="00212CBE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14:paraId="08DFBB53" w14:textId="77777777" w:rsidR="001313D9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Анализ выполнения заданий раздела «Грамматика и лексика» </w:t>
      </w:r>
    </w:p>
    <w:p w14:paraId="2D8DC9D1" w14:textId="77777777" w:rsidR="00F81EDF" w:rsidRDefault="00F81EDF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A221E52" w14:textId="195002F2" w:rsidR="001313D9" w:rsidRPr="00227D00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>В разделе «Грамматика и лексика» проверяются навыки оперирования грамматическими и лексическими единицами на основе предложенных текстов. Здесь представлены только задания базового и повышенного уровня сложности. Задания базового уровня предполагали заполнение пропуска в связном тексте:</w:t>
      </w:r>
    </w:p>
    <w:p w14:paraId="59F1E7FC" w14:textId="1DFB6770" w:rsidR="001313D9" w:rsidRPr="00C675B9" w:rsidRDefault="00F81EDF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1313D9"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-2</w:t>
      </w:r>
      <w:r w:rsidR="00582541"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1313D9"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путем преобразования предложенной начальной формы слова в нужную грамматическую форму;</w:t>
      </w:r>
    </w:p>
    <w:p w14:paraId="305D913B" w14:textId="1BDD95FF" w:rsidR="001313D9" w:rsidRPr="00C675B9" w:rsidRDefault="001313D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81EDF"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-3</w:t>
      </w:r>
      <w:r w:rsidR="00582541"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путем образования родственного слова от предложенного опорного слова с использованием аффиксации.</w:t>
      </w:r>
    </w:p>
    <w:p w14:paraId="10994061" w14:textId="1A8A4E89" w:rsidR="001313D9" w:rsidRPr="00F81EDF" w:rsidRDefault="00F81EDF" w:rsidP="00F81EDF">
      <w:pPr>
        <w:suppressAutoHyphens/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3520"/>
        <w:gridCol w:w="1834"/>
        <w:gridCol w:w="1166"/>
        <w:gridCol w:w="1336"/>
      </w:tblGrid>
      <w:tr w:rsidR="001313D9" w:rsidRPr="00F81EDF" w14:paraId="154F7E13" w14:textId="77777777" w:rsidTr="00F81EDF">
        <w:tc>
          <w:tcPr>
            <w:tcW w:w="1664" w:type="dxa"/>
            <w:vAlign w:val="center"/>
          </w:tcPr>
          <w:p w14:paraId="624788B3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Обозначение</w:t>
            </w:r>
          </w:p>
          <w:p w14:paraId="6D543575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задания </w:t>
            </w:r>
          </w:p>
          <w:p w14:paraId="5293C210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3520" w:type="dxa"/>
            <w:vAlign w:val="center"/>
          </w:tcPr>
          <w:p w14:paraId="0988C3B2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834" w:type="dxa"/>
            <w:vAlign w:val="center"/>
          </w:tcPr>
          <w:p w14:paraId="5EC83C02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2502" w:type="dxa"/>
            <w:gridSpan w:val="2"/>
            <w:vAlign w:val="center"/>
          </w:tcPr>
          <w:p w14:paraId="42B30958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Средний процент</w:t>
            </w:r>
          </w:p>
          <w:p w14:paraId="697A4F08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выполнения задания</w:t>
            </w:r>
          </w:p>
          <w:p w14:paraId="1436CC7C" w14:textId="77777777" w:rsidR="001313D9" w:rsidRPr="00F81EDF" w:rsidRDefault="001313D9" w:rsidP="00E919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региону</w:t>
            </w:r>
          </w:p>
        </w:tc>
      </w:tr>
      <w:tr w:rsidR="00103C7E" w:rsidRPr="00F81EDF" w14:paraId="2AE17249" w14:textId="77777777" w:rsidTr="00F81EDF">
        <w:tc>
          <w:tcPr>
            <w:tcW w:w="1664" w:type="dxa"/>
          </w:tcPr>
          <w:p w14:paraId="25A46E41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vMerge w:val="restart"/>
          </w:tcPr>
          <w:p w14:paraId="302674CD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Грамматические навыки</w:t>
            </w:r>
          </w:p>
          <w:p w14:paraId="4E5BB75C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употребления нужной</w:t>
            </w:r>
          </w:p>
          <w:p w14:paraId="2F962AED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морфологической формы</w:t>
            </w:r>
          </w:p>
          <w:p w14:paraId="2EF98C28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данного слова в</w:t>
            </w:r>
          </w:p>
          <w:p w14:paraId="3682AE01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коммуникативно-значимом</w:t>
            </w:r>
          </w:p>
          <w:p w14:paraId="4E5A1D2D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контексте</w:t>
            </w:r>
          </w:p>
          <w:p w14:paraId="721E25C1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99B5839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66" w:type="dxa"/>
            <w:vAlign w:val="center"/>
          </w:tcPr>
          <w:p w14:paraId="279446F8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336" w:type="dxa"/>
            <w:vMerge w:val="restart"/>
          </w:tcPr>
          <w:p w14:paraId="7E735DC6" w14:textId="77777777" w:rsidR="00103C7E" w:rsidRPr="00F81EDF" w:rsidRDefault="00103C7E" w:rsidP="00AF30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71,</w:t>
            </w:r>
            <w:r w:rsidR="00AF30E7"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03C7E" w:rsidRPr="00F81EDF" w14:paraId="00FED59B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A3004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vMerge/>
          </w:tcPr>
          <w:p w14:paraId="2440C699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40F9773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1F5A3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6" w:type="dxa"/>
            <w:vMerge/>
          </w:tcPr>
          <w:p w14:paraId="28A94668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37527B45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55C45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vMerge/>
          </w:tcPr>
          <w:p w14:paraId="24C1AF6A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5734D79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FFE3D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336" w:type="dxa"/>
            <w:vMerge/>
          </w:tcPr>
          <w:p w14:paraId="1A79377D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6C37AD57" w14:textId="77777777" w:rsidTr="00F81EDF">
        <w:trPr>
          <w:trHeight w:val="353"/>
        </w:trPr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FDD21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vMerge/>
          </w:tcPr>
          <w:p w14:paraId="7CE33DBC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4C45427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D2393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6" w:type="dxa"/>
            <w:vMerge/>
          </w:tcPr>
          <w:p w14:paraId="40AA9C36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4DF71BEF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1C7C3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vMerge/>
          </w:tcPr>
          <w:p w14:paraId="72593FB4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4EDE19C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51C61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336" w:type="dxa"/>
            <w:vMerge/>
          </w:tcPr>
          <w:p w14:paraId="1A4E6EA3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0C7812A5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78CEC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vMerge/>
          </w:tcPr>
          <w:p w14:paraId="02E5FF32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C7BE340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9F009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336" w:type="dxa"/>
            <w:vMerge/>
          </w:tcPr>
          <w:p w14:paraId="290A5553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031BA8EE" w14:textId="77777777" w:rsidTr="00F81EDF">
        <w:tc>
          <w:tcPr>
            <w:tcW w:w="16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56FEDF9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vMerge/>
          </w:tcPr>
          <w:p w14:paraId="620965D6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D94B0AA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4A2F24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336" w:type="dxa"/>
            <w:vMerge/>
          </w:tcPr>
          <w:p w14:paraId="74FF598F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75E78226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C6E2D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vMerge/>
          </w:tcPr>
          <w:p w14:paraId="5E8BABA2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F445D4A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A7E3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336" w:type="dxa"/>
            <w:vMerge/>
          </w:tcPr>
          <w:p w14:paraId="76249EA8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55C9202A" w14:textId="77777777" w:rsidTr="00F81EDF">
        <w:tc>
          <w:tcPr>
            <w:tcW w:w="16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D78D408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vMerge/>
          </w:tcPr>
          <w:p w14:paraId="2F6B03DC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77FD74E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E7390A5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36" w:type="dxa"/>
            <w:vMerge/>
          </w:tcPr>
          <w:p w14:paraId="7280E474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4CEA5177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3C600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vMerge w:val="restart"/>
          </w:tcPr>
          <w:p w14:paraId="002FA035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Лексико-грамматические навыки образования и употребления родственного слова нужной части речи с использованием аффиксации </w:t>
            </w:r>
          </w:p>
          <w:p w14:paraId="3E21B931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коммуникативно-</w:t>
            </w:r>
          </w:p>
          <w:p w14:paraId="2ECA5F86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значимом контексте.</w:t>
            </w:r>
          </w:p>
        </w:tc>
        <w:tc>
          <w:tcPr>
            <w:tcW w:w="1834" w:type="dxa"/>
            <w:vMerge w:val="restart"/>
          </w:tcPr>
          <w:p w14:paraId="24BF6DED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8D332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336" w:type="dxa"/>
            <w:vMerge w:val="restart"/>
          </w:tcPr>
          <w:p w14:paraId="24FB048D" w14:textId="77777777" w:rsidR="00103C7E" w:rsidRPr="00F81EDF" w:rsidRDefault="00AF30E7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103C7E" w:rsidRPr="00F81EDF" w14:paraId="334063E0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41D91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vMerge/>
          </w:tcPr>
          <w:p w14:paraId="542F2DA0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0F626D2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1C01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36" w:type="dxa"/>
            <w:vMerge/>
          </w:tcPr>
          <w:p w14:paraId="130B4AC7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668F3273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448F7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vMerge/>
          </w:tcPr>
          <w:p w14:paraId="7EAFF53B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F5FDFE8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D8A57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336" w:type="dxa"/>
            <w:vMerge/>
          </w:tcPr>
          <w:p w14:paraId="74511B3F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69C20B2D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F5BA4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vMerge/>
          </w:tcPr>
          <w:p w14:paraId="7CBB71B3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E05D909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4159A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336" w:type="dxa"/>
            <w:vMerge/>
          </w:tcPr>
          <w:p w14:paraId="779D5490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61C39424" w14:textId="77777777" w:rsidTr="00F81EDF">
        <w:tc>
          <w:tcPr>
            <w:tcW w:w="16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3B442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vMerge/>
          </w:tcPr>
          <w:p w14:paraId="5E972BEE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87D2F23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63E37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36" w:type="dxa"/>
            <w:vMerge/>
          </w:tcPr>
          <w:p w14:paraId="2A0D780F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C7E" w:rsidRPr="00F81EDF" w14:paraId="32E1CB64" w14:textId="77777777" w:rsidTr="00F81EDF">
        <w:tc>
          <w:tcPr>
            <w:tcW w:w="166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71707DD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14:paraId="39957A82" w14:textId="77777777" w:rsidR="00103C7E" w:rsidRPr="00F81EDF" w:rsidRDefault="00103C7E" w:rsidP="00103C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14:paraId="3689A32C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58F92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CA1C3E8" w14:textId="77777777" w:rsidR="00103C7E" w:rsidRPr="00F81EDF" w:rsidRDefault="00103C7E" w:rsidP="00103C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81E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336" w:type="dxa"/>
            <w:vMerge/>
          </w:tcPr>
          <w:p w14:paraId="44E57C63" w14:textId="77777777" w:rsidR="00103C7E" w:rsidRPr="00F81EDF" w:rsidRDefault="00103C7E" w:rsidP="00103C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B44849C" w14:textId="77777777" w:rsidR="001313D9" w:rsidRPr="00227D00" w:rsidRDefault="001313D9" w:rsidP="001313D9">
      <w:pPr>
        <w:rPr>
          <w:rFonts w:ascii="Calibri" w:eastAsia="Calibri" w:hAnsi="Calibri" w:cs="Times New Roman"/>
          <w:lang w:eastAsia="en-US"/>
        </w:rPr>
      </w:pPr>
    </w:p>
    <w:p w14:paraId="2EA020E0" w14:textId="77777777" w:rsidR="004933E7" w:rsidRDefault="00E9190A" w:rsidP="00C6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Процент выполнения задания раздела «Грамматика и лексика» в 20</w:t>
      </w:r>
      <w:r w:rsidR="001501E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22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году (7</w:t>
      </w:r>
      <w:r w:rsidR="001501E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</w:t>
      </w:r>
      <w:r w:rsidR="001501E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%). </w:t>
      </w:r>
    </w:p>
    <w:p w14:paraId="501A00CC" w14:textId="28059A68" w:rsidR="004933E7" w:rsidRPr="004933E7" w:rsidRDefault="004933E7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Задания 20-34 в данном разделе проверяет грамматические навыки. Типичными ошибки </w:t>
      </w:r>
      <w:r w:rsidR="00F81ED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–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употребление глаголов в формах Past и Future Simple, Present Perfect, Passive Voice. Разброс ответов участников из групп 1 и 2 весьма велик, например</w:t>
      </w:r>
      <w:r w:rsidR="00F81ED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became. В ответах участников встречаются следующие формы, часть из которых просто не существует в английском языке: had becomed, becames, have became, was becomen, was becomed, has became и т.д. Данные примеры демонстрируют непонимание экзаменуемыми функций, смысла грамматических форм глагола, контекста, в котором они уместны, элементарное незнание их форм, способов их образования. Помимо названных выше грамматических ошибок, были и орфографические ошибки, когда пропускались или добавлялись буквы, например becomming. </w:t>
      </w:r>
    </w:p>
    <w:p w14:paraId="109D80A2" w14:textId="77777777" w:rsidR="004933E7" w:rsidRPr="004933E7" w:rsidRDefault="004933E7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Многие участники не знают формы неправильных глаголов: писали choosed вместо chose, maked вместо made, thinked вместо thought. Есть ошибки, связанные с модальными глаголами, так, например, вместо could употребляли was could, will can.  Есть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ошибки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простых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местоимениях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разных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видов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: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личных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(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their – them, themselves, this, theirs;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mine – my, me, myself, it;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me – I am, myself).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самых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простых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случаях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употребления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числительных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(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first – ones, once, thirst;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second – first, twice, twerty),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множественном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числе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существительных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(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women – womans, womens, womental, she;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teeth – tooths, teenth, theeth, toothpast),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степенях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сравнения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прилагательных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(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coldest – most cold, best, coolest, most colding, most coldly, better, coldiest, coldly, most coldest;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вместо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/>
        </w:rPr>
        <w:t xml:space="preserve"> most popular – popularity, populary, popularest, populairng, best popular, inpopular, populated, population). </w:t>
      </w: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Эти ошибки демонстрируют невероятно низкий уровень коммуникативной компетенции у участников. </w:t>
      </w:r>
    </w:p>
    <w:p w14:paraId="055C7742" w14:textId="77777777" w:rsidR="004933E7" w:rsidRPr="004933E7" w:rsidRDefault="004933E7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Кроме того, приведенные примеры показывают, что выпускники не знают частей речи, формата заданий, путают задания на проверку грамматических навыков и на словообразование. Данные ошибки свидетельствуют о том, что, не усвоив учебный материал в начальной школе, обучающиеся не смогли ликвидировать эти пробелы.</w:t>
      </w:r>
    </w:p>
    <w:p w14:paraId="4757DF7D" w14:textId="77777777" w:rsidR="004933E7" w:rsidRDefault="004933E7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4933E7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Задания 29-34 имеют лексико-грамматический характер и проверяют навыки словообразования. Данные задания показали, что не все участники знают части речи, путают аффиксы.</w:t>
      </w:r>
    </w:p>
    <w:p w14:paraId="1125A750" w14:textId="77777777" w:rsidR="004933E7" w:rsidRDefault="004933E7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14:paraId="6C9066ED" w14:textId="77777777" w:rsidR="001313D9" w:rsidRPr="00227D00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Анализ выполнения заданий раздела «Письмо» </w:t>
      </w:r>
    </w:p>
    <w:p w14:paraId="28E1FB86" w14:textId="77777777" w:rsidR="00001F61" w:rsidRDefault="00001F61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7AC97B25" w14:textId="3427D33C" w:rsidR="001313D9" w:rsidRPr="00227D00" w:rsidRDefault="001313D9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Задание 3</w:t>
      </w:r>
      <w:r w:rsidR="00464E2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5</w:t>
      </w:r>
      <w:r w:rsidR="003A012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</w:t>
      </w:r>
      <w:r w:rsidR="00001F6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A719D" w:rsidRPr="000A719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Электронное</w:t>
      </w:r>
      <w:r w:rsidR="000A719D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A719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</w:t>
      </w:r>
      <w:r w:rsidRPr="00227D0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исьмо личного характера в ответ на письмо-стимул.</w:t>
      </w:r>
    </w:p>
    <w:p w14:paraId="1E862DC2" w14:textId="2F148072" w:rsidR="001313D9" w:rsidRDefault="001313D9" w:rsidP="00C675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«Письмо» представляет собой небольшую письменную работу по написанию </w:t>
      </w:r>
      <w:r w:rsidR="000A7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личного характера в ответ на письмо-стимул. Задание 3</w:t>
      </w:r>
      <w:r w:rsidR="000A719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–задание </w:t>
      </w:r>
      <w:r w:rsidR="000A719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повышенного уровня</w:t>
      </w:r>
      <w:r w:rsidR="003A01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его выполнение участник экзамена может максимально получить 10 баллов. Оценка задания 3</w:t>
      </w:r>
      <w:r w:rsidR="00325B2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учет способности экзаменуемого продуцировать развернутое письменное высказывание. Если экзаменуемый получает 0 баллов по критерию «Решение коммуникативной задачи», все задание оценивается в 0 баллов. Задание считается невыполненным, если отсутствуют ответы на два вопроса или текст письма не соответствует требуемому объёму (менее 90 слов). </w:t>
      </w:r>
    </w:p>
    <w:p w14:paraId="409052DB" w14:textId="70C43C8C" w:rsidR="003A0122" w:rsidRPr="00227D00" w:rsidRDefault="003A0122" w:rsidP="003A0122">
      <w:pPr>
        <w:autoSpaceDE w:val="0"/>
        <w:autoSpaceDN w:val="0"/>
        <w:adjustRightInd w:val="0"/>
        <w:spacing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6</w:t>
      </w:r>
    </w:p>
    <w:tbl>
      <w:tblPr>
        <w:tblW w:w="5018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1660"/>
        <w:gridCol w:w="4705"/>
        <w:gridCol w:w="1245"/>
        <w:gridCol w:w="950"/>
      </w:tblGrid>
      <w:tr w:rsidR="001313D9" w:rsidRPr="00227D00" w14:paraId="0DD17101" w14:textId="77777777" w:rsidTr="003A0122">
        <w:trPr>
          <w:trHeight w:val="1437"/>
          <w:jc w:val="center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633EF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Обозначение</w:t>
            </w:r>
          </w:p>
          <w:p w14:paraId="4953241A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задания</w:t>
            </w:r>
          </w:p>
          <w:p w14:paraId="159CCFD7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работе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E2F24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Проверяемые</w:t>
            </w:r>
          </w:p>
          <w:p w14:paraId="55C34F38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элементы</w:t>
            </w:r>
          </w:p>
          <w:p w14:paraId="40C2FAB3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содержания</w:t>
            </w:r>
          </w:p>
          <w:p w14:paraId="13187953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325E4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Проверяемые умения, навыки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17346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Уровень сложности </w:t>
            </w:r>
          </w:p>
          <w:p w14:paraId="5DAFF6EE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задания</w:t>
            </w:r>
          </w:p>
          <w:p w14:paraId="42A0F2A2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91974" w14:textId="77777777" w:rsidR="001313D9" w:rsidRPr="00227D00" w:rsidRDefault="001313D9" w:rsidP="006A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Средний п</w:t>
            </w: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роцент</w:t>
            </w:r>
          </w:p>
          <w:p w14:paraId="2DA2407F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выполнения задания </w:t>
            </w: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4911B4F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региону</w:t>
            </w:r>
          </w:p>
        </w:tc>
      </w:tr>
      <w:tr w:rsidR="001313D9" w:rsidRPr="00227D00" w14:paraId="23145370" w14:textId="77777777" w:rsidTr="003A0122">
        <w:trPr>
          <w:trHeight w:val="481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8FBE5" w14:textId="77777777" w:rsidR="001313D9" w:rsidRPr="00227D00" w:rsidRDefault="001313D9" w:rsidP="006A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Письменная часть</w:t>
            </w:r>
          </w:p>
        </w:tc>
      </w:tr>
      <w:tr w:rsidR="001313D9" w:rsidRPr="00227D00" w14:paraId="530ABEC7" w14:textId="77777777" w:rsidTr="003A0122">
        <w:trPr>
          <w:trHeight w:val="481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1C1F5" w14:textId="77777777" w:rsidR="001313D9" w:rsidRPr="00227D00" w:rsidRDefault="001313D9" w:rsidP="006A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en-US"/>
              </w:rPr>
              <w:t>Раздел 4. Задание по письменной речи</w:t>
            </w:r>
          </w:p>
        </w:tc>
      </w:tr>
      <w:tr w:rsidR="001313D9" w:rsidRPr="00227D00" w14:paraId="5C94D8FB" w14:textId="77777777" w:rsidTr="003A0122">
        <w:trPr>
          <w:trHeight w:val="481"/>
          <w:jc w:val="center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5ABE9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E65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0FEC2" w14:textId="77777777" w:rsidR="001313D9" w:rsidRDefault="00AE6543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Электронное п</w:t>
            </w:r>
            <w:r w:rsidR="001313D9"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исьмо </w:t>
            </w:r>
          </w:p>
          <w:p w14:paraId="1F9A2EA5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личного </w:t>
            </w:r>
          </w:p>
          <w:p w14:paraId="78FC456E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характера </w:t>
            </w:r>
          </w:p>
          <w:p w14:paraId="010096D5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 ответ на письмо-стимул</w:t>
            </w:r>
          </w:p>
        </w:tc>
        <w:tc>
          <w:tcPr>
            <w:tcW w:w="2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72540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Писать личное письмо по образцу:</w:t>
            </w:r>
          </w:p>
          <w:p w14:paraId="3D4CC0BF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расспрашивать адресата о его жизни и</w:t>
            </w:r>
          </w:p>
          <w:p w14:paraId="448B4314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делах, сообщать то же о себе, выражать просьбу,</w:t>
            </w:r>
          </w:p>
          <w:p w14:paraId="2D9936C6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выражать благодарность, просьбу;</w:t>
            </w:r>
          </w:p>
          <w:p w14:paraId="69D721F8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употреблять формулы речевого этикета,</w:t>
            </w:r>
          </w:p>
          <w:p w14:paraId="7D3F1157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принятые в странах изучаемого языка.</w:t>
            </w:r>
          </w:p>
          <w:p w14:paraId="7789262C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Владеть орфографическими навыками на основе изучаемого лексико-грамматического материала.</w:t>
            </w:r>
          </w:p>
          <w:p w14:paraId="638A51A8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Уметь выходить из положения при дефиците языковых средств.</w:t>
            </w:r>
          </w:p>
          <w:p w14:paraId="4C6B749E" w14:textId="77777777" w:rsidR="001313D9" w:rsidRPr="00227D00" w:rsidRDefault="001313D9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Владеть навыками оперирования лексическими единицами и грамматическими структурами в коммуникативно-значимом контексте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5C264" w14:textId="77777777" w:rsidR="001313D9" w:rsidRPr="00227D00" w:rsidRDefault="00AE6543" w:rsidP="006A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F4CDF" w14:textId="77777777" w:rsidR="001313D9" w:rsidRPr="00227D00" w:rsidRDefault="00005D69" w:rsidP="006A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F571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05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F571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14:paraId="3A7E9B85" w14:textId="642C2F96" w:rsidR="001313D9" w:rsidRDefault="001313D9" w:rsidP="00C675B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участников ОГЭ успешно справились с написанием </w:t>
      </w:r>
      <w:r w:rsidR="004B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письма (средний процент выполнения задания из раздела «Письмо» </w:t>
      </w:r>
      <w:r w:rsidR="00F4295A">
        <w:rPr>
          <w:rFonts w:ascii="Times New Roman" w:eastAsia="Times New Roman" w:hAnsi="Times New Roman" w:cs="Times New Roman"/>
          <w:color w:val="000000"/>
          <w:sz w:val="28"/>
          <w:szCs w:val="28"/>
        </w:rPr>
        <w:t>- 9</w:t>
      </w:r>
      <w:r w:rsidR="004B0B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429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0B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4295A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4B0BA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B94"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результаты позволяют сделать вывод о том, что у участников экзамена сформированы на требуемом уровне умения в написании и оформлении писем личного характера, они хорошо знакомы и с критериями оценивания этого задания. Естественно, что лучшие результаты показали участники, получившие оценку «5» и «4», − 99,2 % и 96,8 % соответственно. Процент выполнения у участников группы 2 также довольно высок – 84,4%. Значительный процент экзаменуемых успешно выполнили предлагаемую коммуникативную задачу.</w:t>
      </w:r>
    </w:p>
    <w:p w14:paraId="26210A92" w14:textId="6E906DA9" w:rsidR="00E33B94" w:rsidRDefault="00E33B94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Подавляющее большинство участников владеют форматом написания электронного личного письма с точки зрения его организации, правильно оформляют обращение, благодарность за полученное письмо и упоминание о предыдущих контактах, завершающие фразы. Вместе с тем, следует отметить,</w:t>
      </w:r>
      <w:r w:rsidR="006A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самым проблемным в задании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лексико-грамматическое оформление. Несмотря на то, что в последние годы наблюдаются положительные тенденции в выполнении задания 35, приходится признать, что в личных письмах 2022 года были допущены те же ошибки, что и в предыдущие годы, что свидетельствует об их устойчивом характере и о том, что процесс обучения написанию личных писем всё ещё нуждается не только в совершенствовании, но и в изменении. Многие участники ОГЭ не понимают, что такое полные и точные ответы. Так, отвечая на вопрос What </w:t>
      </w:r>
      <w:r w:rsidR="00AF5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kinds of hobbies do you have? – 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экзаменуемые часто упоминали только одно увлечение, в то время как в вопросе говорится об увлечениях. На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Do you prefer to spend your holidays away from, why yes or no? 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ответы являются неточными, что повлекло за собой снижение баллов по критерию «Решение коммуникативной задачи».  </w:t>
      </w:r>
    </w:p>
    <w:p w14:paraId="5C9F40EE" w14:textId="0D58E829" w:rsidR="00E33B94" w:rsidRDefault="00E33B94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участники соблюдали нормы письменного этикета, допускали ошибки в структурном оформлении письма. Наблюдался ряд логических ошибок, в том числе отсутствие логических переходов между абзацами, а также ошибки в использовании средств логической связи. Всё ещё допускается много лексико-грамматических и орфографических ошибок, большинство из которых имеют элементарный характер, например, отсутстви</w:t>
      </w:r>
      <w:r w:rsidR="009647F2">
        <w:rPr>
          <w:rFonts w:ascii="Times New Roman" w:eastAsia="Times New Roman" w:hAnsi="Times New Roman" w:cs="Times New Roman"/>
          <w:color w:val="000000"/>
          <w:sz w:val="28"/>
          <w:szCs w:val="28"/>
        </w:rPr>
        <w:t>е глагола-связки или окончания -</w:t>
      </w:r>
      <w:r w:rsidRPr="00E33B94">
        <w:rPr>
          <w:rFonts w:ascii="Times New Roman" w:eastAsia="Times New Roman" w:hAnsi="Times New Roman" w:cs="Times New Roman"/>
          <w:color w:val="000000"/>
          <w:sz w:val="28"/>
          <w:szCs w:val="28"/>
        </w:rPr>
        <w:t>s в 3 лице единственного числа в настоящем простом времени, отсутствие артиклей перед исчисляемыми существительными, использование не той временной формы.</w:t>
      </w:r>
    </w:p>
    <w:p w14:paraId="648AC5A6" w14:textId="77777777" w:rsidR="00E33B94" w:rsidRDefault="00E33B94" w:rsidP="001313D9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D4D51" w14:textId="77777777" w:rsidR="00E33B94" w:rsidRPr="00227D00" w:rsidRDefault="00E33B94" w:rsidP="001313D9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BF85C" w14:textId="77777777" w:rsidR="001313D9" w:rsidRPr="00227D00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hd w:val="clear" w:color="auto" w:fill="FFFFFF"/>
          <w:lang w:eastAsia="zh-CN"/>
        </w:rPr>
      </w:pPr>
      <w:r w:rsidRPr="00227D00">
        <w:rPr>
          <w:rFonts w:ascii="Times New Roman" w:eastAsia="Times New Roman" w:hAnsi="Times New Roman" w:cs="Times New Roman"/>
          <w:b/>
          <w:bCs/>
          <w:color w:val="00000A"/>
          <w:sz w:val="28"/>
          <w:shd w:val="clear" w:color="auto" w:fill="FFFFFF"/>
          <w:lang w:eastAsia="zh-CN"/>
        </w:rPr>
        <w:t xml:space="preserve">Анализ выполнения заданий раздела «Говорение» </w:t>
      </w:r>
    </w:p>
    <w:p w14:paraId="72A0F39D" w14:textId="77777777" w:rsidR="009647F2" w:rsidRDefault="009647F2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13DCC1" w14:textId="26CF1D3A" w:rsidR="001313D9" w:rsidRPr="00227D00" w:rsidRDefault="001313D9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включал в себя три задания: </w:t>
      </w:r>
    </w:p>
    <w:p w14:paraId="6A08B15A" w14:textId="363D8C9F" w:rsidR="001313D9" w:rsidRPr="00C675B9" w:rsidRDefault="001313D9" w:rsidP="00C675B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 – чтение небольшого научно-популярного текста (</w:t>
      </w:r>
      <w:r w:rsidR="007C1E59" w:rsidRPr="00C675B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</w:t>
      </w:r>
      <w:r w:rsidRPr="00C675B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A88B058" w14:textId="175CC1FF" w:rsidR="001313D9" w:rsidRPr="00C675B9" w:rsidRDefault="001313D9" w:rsidP="00C675B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5B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2 – участие в условном диалоге-расспросе: сообщение запрашиваемой информации (</w:t>
      </w:r>
      <w:r w:rsidR="007C1E59" w:rsidRPr="00C675B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уровень</w:t>
      </w:r>
      <w:r w:rsidRPr="00C67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18E21A54" w14:textId="78844B93" w:rsidR="001313D9" w:rsidRPr="00C675B9" w:rsidRDefault="001313D9" w:rsidP="00C675B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C675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задание 3 – создание монологического тематического высказывания с опорой на вербальную ситуацию и фотографию (картинку) (</w:t>
      </w:r>
      <w:r w:rsidR="007C1E59" w:rsidRPr="00C675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базовый уровень</w:t>
      </w:r>
      <w:r w:rsidRPr="00C675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). </w:t>
      </w:r>
    </w:p>
    <w:p w14:paraId="3518D3BF" w14:textId="6B1C8873" w:rsidR="001313D9" w:rsidRPr="009647F2" w:rsidRDefault="009647F2" w:rsidP="00C675B9">
      <w:pPr>
        <w:autoSpaceDE w:val="0"/>
        <w:autoSpaceDN w:val="0"/>
        <w:adjustRightInd w:val="0"/>
        <w:spacing w:before="24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Таблица 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834"/>
        <w:gridCol w:w="1276"/>
        <w:gridCol w:w="1559"/>
      </w:tblGrid>
      <w:tr w:rsidR="001313D9" w:rsidRPr="00227D00" w14:paraId="65C210B6" w14:textId="77777777" w:rsidTr="00E9190A">
        <w:tc>
          <w:tcPr>
            <w:tcW w:w="1560" w:type="dxa"/>
            <w:vAlign w:val="center"/>
          </w:tcPr>
          <w:p w14:paraId="148007F4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</w:p>
          <w:p w14:paraId="0EBDCCA6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14:paraId="2260A7D7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2410" w:type="dxa"/>
            <w:vAlign w:val="center"/>
          </w:tcPr>
          <w:p w14:paraId="7113AB09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</w:t>
            </w:r>
          </w:p>
          <w:p w14:paraId="1A95607F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  <w:p w14:paraId="6FA3B516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2834" w:type="dxa"/>
            <w:vAlign w:val="center"/>
          </w:tcPr>
          <w:p w14:paraId="7666FBBC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умения, навыки</w:t>
            </w:r>
          </w:p>
        </w:tc>
        <w:tc>
          <w:tcPr>
            <w:tcW w:w="1276" w:type="dxa"/>
            <w:vAlign w:val="center"/>
          </w:tcPr>
          <w:p w14:paraId="67D4471E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сложности </w:t>
            </w:r>
          </w:p>
          <w:p w14:paraId="55B9326C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559" w:type="dxa"/>
            <w:vAlign w:val="center"/>
          </w:tcPr>
          <w:p w14:paraId="3CD041FC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</w:t>
            </w: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роцент</w:t>
            </w:r>
          </w:p>
          <w:p w14:paraId="1C8037D7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14:paraId="7DEAFE08" w14:textId="77777777" w:rsidR="001313D9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14:paraId="3B206B53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1313D9" w:rsidRPr="00227D00" w14:paraId="4AAD1128" w14:textId="77777777" w:rsidTr="00E9190A">
        <w:tc>
          <w:tcPr>
            <w:tcW w:w="1560" w:type="dxa"/>
            <w:vAlign w:val="center"/>
          </w:tcPr>
          <w:p w14:paraId="610813D8" w14:textId="77777777" w:rsidR="001313D9" w:rsidRPr="00227D00" w:rsidRDefault="00BE0FDC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DEE3DBB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 небольшого текста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F6DE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Владеть навыками адекватного (без фонематических ошибок, ведущих к сбою в коммуникации) произношения и различения на слух всех звуков английского языка, соблюдать правильное ударение в словах и фразах; делить предложения на смысловые группы; соблюдать правильную интонацию в различных типах предложений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D856482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Владеть навыками ритмико-интонационного оформления различных типов предложений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DC277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3701" w14:textId="77777777" w:rsidR="001313D9" w:rsidRPr="00227D00" w:rsidRDefault="00D454CD" w:rsidP="004F7F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4F7F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4F7F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313D9" w:rsidRPr="00227D00" w14:paraId="20B264AC" w14:textId="77777777" w:rsidTr="00E9190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05AB" w14:textId="77777777" w:rsidR="001313D9" w:rsidRPr="00227D00" w:rsidRDefault="00BE0FDC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E5EAA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Условный диалог-расспрос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28F2D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Вести диалог-расспрос: сообщать фактическую</w:t>
            </w:r>
          </w:p>
          <w:p w14:paraId="273B8F03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информацию (кто? что? как? где? куда? когда? с кем? почему?), позицию</w:t>
            </w:r>
          </w:p>
          <w:p w14:paraId="32EA1B84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отвечающего.</w:t>
            </w:r>
          </w:p>
          <w:p w14:paraId="5A2E5DFC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Владеть навыками адекватного (без фонематических ошибок, ведущих к сбою в коммуникации) произношения и различения на слух всех звуков английского языка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86DE1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28B4" w14:textId="77777777" w:rsidR="001313D9" w:rsidRPr="00227D00" w:rsidRDefault="004F7F95" w:rsidP="004F7F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D454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1313D9" w:rsidRPr="00227D00" w14:paraId="12DEAF4C" w14:textId="77777777" w:rsidTr="00E9190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CE7E2" w14:textId="77777777" w:rsidR="001313D9" w:rsidRPr="00227D00" w:rsidRDefault="00BE0FDC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BB4B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Тематическое </w:t>
            </w:r>
          </w:p>
          <w:p w14:paraId="5465FF31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Монологическое</w:t>
            </w:r>
          </w:p>
          <w:p w14:paraId="67FBD78F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высказывание </w:t>
            </w:r>
          </w:p>
          <w:p w14:paraId="43898435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 вербальной</w:t>
            </w:r>
          </w:p>
          <w:p w14:paraId="0DA1B761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опорой в тексте задания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BAB7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Рассказывать о себе, своей семье, друзьях, своих интересах и планах на будущее.</w:t>
            </w:r>
          </w:p>
          <w:p w14:paraId="207BB3FB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Сообщать краткие сведения о своем городе/селе, своей стране и стране изучаемого языка.</w:t>
            </w:r>
          </w:p>
          <w:p w14:paraId="44B4722F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227D00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Уметь выходить из положения при дефиците языковых средств.</w:t>
            </w:r>
          </w:p>
          <w:p w14:paraId="598D5249" w14:textId="77777777" w:rsidR="001313D9" w:rsidRPr="00227D00" w:rsidRDefault="001313D9" w:rsidP="004007EB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Владеть навыками оперирования лексическими единицами и грамматическими структурами в коммуникативно-значимом контексте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A92DD" w14:textId="77777777" w:rsidR="001313D9" w:rsidRPr="00227D00" w:rsidRDefault="001313D9" w:rsidP="00E9190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7D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0E1AE" w14:textId="77777777" w:rsidR="001313D9" w:rsidRPr="00227D00" w:rsidRDefault="004F7F95" w:rsidP="004F7F9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  <w:r w:rsidR="00326623" w:rsidRPr="003266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14:paraId="03F7BD58" w14:textId="77777777" w:rsidR="001313D9" w:rsidRDefault="001313D9" w:rsidP="0013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279E6D" w14:textId="77777777" w:rsidR="001313D9" w:rsidRPr="00227D00" w:rsidRDefault="001313D9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7D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Задание </w:t>
      </w:r>
      <w:r w:rsidR="00BC39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22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базового уровня сложности проверяет технику чтения, а именно правильное оформление фонетической стороны устной речи, что отражает понимание содержания читаемого. </w:t>
      </w:r>
    </w:p>
    <w:p w14:paraId="54F5A40C" w14:textId="77777777" w:rsidR="001313D9" w:rsidRPr="00227D00" w:rsidRDefault="001313D9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D00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при выполнении данного задания в основном связаны с незнанием основных правил чтения, тех или иных слов, неправильным интонированием, делением текста на синтагмы, неправильным произношением отдельных слов и т.п.</w:t>
      </w:r>
    </w:p>
    <w:p w14:paraId="6EA34223" w14:textId="348839DC" w:rsidR="001313D9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целом </w:t>
      </w:r>
      <w:r w:rsidR="00AB0FD7">
        <w:rPr>
          <w:rFonts w:ascii="Times New Roman" w:eastAsia="Calibri" w:hAnsi="Times New Roman" w:cs="Times New Roman"/>
          <w:sz w:val="28"/>
          <w:szCs w:val="28"/>
          <w:lang w:eastAsia="zh-CN"/>
        </w:rPr>
        <w:t>экзаменуемые в 20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AB0F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справились с данным заданием 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>успешно –</w:t>
      </w:r>
      <w:r w:rsidR="00AB0F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4F7F95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4F7F95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что значительно выше результатов прошлых лет (2019 г. </w:t>
      </w:r>
      <w:r w:rsidR="004007EB">
        <w:rPr>
          <w:rFonts w:ascii="Times New Roman" w:eastAsia="Calibri" w:hAnsi="Times New Roman" w:cs="Times New Roman"/>
          <w:sz w:val="28"/>
          <w:szCs w:val="28"/>
          <w:lang w:eastAsia="zh-CN"/>
        </w:rPr>
        <w:t>–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623">
        <w:rPr>
          <w:rFonts w:ascii="Times New Roman" w:eastAsia="Calibri" w:hAnsi="Times New Roman" w:cs="Times New Roman"/>
          <w:sz w:val="28"/>
          <w:szCs w:val="28"/>
          <w:lang w:eastAsia="zh-CN"/>
        </w:rPr>
        <w:t>84,45%</w:t>
      </w:r>
      <w:r w:rsidR="00AB0FD7">
        <w:rPr>
          <w:rFonts w:ascii="Times New Roman" w:eastAsia="Calibri" w:hAnsi="Times New Roman" w:cs="Times New Roman"/>
          <w:sz w:val="28"/>
          <w:szCs w:val="28"/>
          <w:lang w:eastAsia="zh-CN"/>
        </w:rPr>
        <w:t>, 2018 г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AB0F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</w:t>
      </w:r>
      <w:r w:rsidR="00AB0FD7" w:rsidRPr="00AB0F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B0FD7">
        <w:rPr>
          <w:rFonts w:ascii="Times New Roman" w:eastAsia="Calibri" w:hAnsi="Times New Roman" w:cs="Times New Roman"/>
          <w:sz w:val="28"/>
          <w:szCs w:val="28"/>
          <w:lang w:eastAsia="zh-CN"/>
        </w:rPr>
        <w:t>76,6%</w:t>
      </w:r>
      <w:r w:rsidR="00BC3912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14:paraId="082D3A7F" w14:textId="77777777" w:rsidR="004F7F95" w:rsidRPr="004F7F95" w:rsidRDefault="004F7F95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F95">
        <w:rPr>
          <w:rFonts w:ascii="Times New Roman" w:eastAsia="Calibri" w:hAnsi="Times New Roman" w:cs="Times New Roman"/>
          <w:sz w:val="28"/>
          <w:szCs w:val="28"/>
          <w:lang w:eastAsia="zh-CN"/>
        </w:rPr>
        <w:t>Для анализа выполнения данного задания возьмем фрагмент научно-популярного текста о Всемирном Дне Воды предложенном участникам в одном из вариантов КИМ. Наиболее типичными фонетическими ошибками в этом году были:</w:t>
      </w:r>
    </w:p>
    <w:p w14:paraId="4A29BE54" w14:textId="72F54FBE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неправильное чтение числительных (750 million, 1993);</w:t>
      </w:r>
    </w:p>
    <w:p w14:paraId="3E776C17" w14:textId="18B083EA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неправильное произношение слов или звуков, которое меняет смысл слов (например, opportunity, word-world, united, environment, agriculture, supplies, generations);</w:t>
      </w:r>
    </w:p>
    <w:p w14:paraId="067A8474" w14:textId="5F809E1B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нарушение ударения в ряде слов (например, limited);</w:t>
      </w:r>
    </w:p>
    <w:p w14:paraId="2537FE4E" w14:textId="481517D9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неправильное произношение межзубных [ð]/[θ];</w:t>
      </w:r>
    </w:p>
    <w:p w14:paraId="7023B799" w14:textId="14ED0563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пропуск окончания -s во множественном числе существительных (например, читали generations как generation);</w:t>
      </w:r>
    </w:p>
    <w:p w14:paraId="25474A71" w14:textId="21E3A555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пропуск глагола-связки to be;</w:t>
      </w:r>
    </w:p>
    <w:p w14:paraId="3AFF8D38" w14:textId="70D022F4" w:rsidR="004F7F95" w:rsidRPr="00C675B9" w:rsidRDefault="004F7F95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75B9">
        <w:rPr>
          <w:rFonts w:ascii="Times New Roman" w:eastAsia="Calibri" w:hAnsi="Times New Roman" w:cs="Times New Roman"/>
          <w:sz w:val="28"/>
          <w:szCs w:val="28"/>
          <w:lang w:eastAsia="zh-CN"/>
        </w:rPr>
        <w:t>замена полной формы стяжённой (don’t have вместо do not have).</w:t>
      </w:r>
    </w:p>
    <w:p w14:paraId="78D971B6" w14:textId="2BF97F9D" w:rsidR="004F7F95" w:rsidRPr="00227D00" w:rsidRDefault="004F7F95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7F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Ответы, в которых </w:t>
      </w:r>
      <w:r w:rsidR="004007EB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обучающиеся</w:t>
      </w:r>
      <w:r w:rsidRPr="004F7F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</w:t>
      </w:r>
      <w:r w:rsidR="004007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успели прочитать текст </w:t>
      </w:r>
      <w:r w:rsidR="00D576DA">
        <w:rPr>
          <w:rFonts w:ascii="Times New Roman" w:eastAsia="Calibri" w:hAnsi="Times New Roman" w:cs="Times New Roman"/>
          <w:sz w:val="28"/>
          <w:szCs w:val="28"/>
          <w:lang w:eastAsia="zh-CN"/>
        </w:rPr>
        <w:t>целиком,</w:t>
      </w:r>
      <w:r w:rsidR="00D576DA" w:rsidRPr="004F7F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отсутствуют</w:t>
      </w:r>
      <w:r w:rsidRPr="004F7F9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48EC4130" w14:textId="77777777" w:rsidR="001313D9" w:rsidRPr="00227D00" w:rsidRDefault="001313D9" w:rsidP="00C675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Задание </w:t>
      </w:r>
      <w:r w:rsidR="004F7F9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7F95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повышенного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уровня сложности предполагает условный диалог-расспрос и проверяет следующие умения диалогической речи: осуществлять запрос информации, обращаться за разъяснениями, точно и правильно употреблять языковые средства оформления высказывания. </w:t>
      </w:r>
    </w:p>
    <w:p w14:paraId="2A8DA1D6" w14:textId="0892D34F" w:rsidR="00464E28" w:rsidRDefault="00464E28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процент выполнения данного задания в 2022 году – 56,6%. 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ОГЭ предлагалось принять участие в телефонном опросе и ответить на шесть заданных вопросов. В ходе выполнения этого задания девятиклассники должны были продемонстрировать следующие умения: сообщать запрашиваемую информацию, отвечая на вопросы разных видов</w:t>
      </w:r>
      <w:r w:rsidR="00D57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свое мнение/отношение к теме обсуждения; точно и правильно употреблять языковые средства оформления высказывания. К числу типичных ошибок при выполнении данного задания следует отнести несоответствие ответа заданному вопросу. Например, в одном из предложенных вариантов КИМ самым сложным для участников в этом году оказался вопрос «What is your favourite holiday? Why do you like it?». Многие участники не поняли коммуникативную задачу – ответить на вопрос о самом любимом празднике и объяснить</w:t>
      </w:r>
      <w:r w:rsidR="00D576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он нравится</w:t>
      </w:r>
      <w:r w:rsidR="00D576DA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6DA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рассказывали о своем любимом времени года или не отвечали на вопрос почему. Затруднение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вызвал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«What would you recommend to a person who has got a present he/she doesn’t need?». </w:t>
      </w:r>
      <w:r w:rsidRPr="00464E2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не смогли понять запрашиваемую информацию и, соответственно, дали неправильный ответ или не смогли ответить вообще.</w:t>
      </w:r>
    </w:p>
    <w:p w14:paraId="16864897" w14:textId="309B9E7A" w:rsidR="00E91427" w:rsidRPr="00E91427" w:rsidRDefault="001313D9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Задание 3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име</w:t>
      </w:r>
      <w:r w:rsidR="005B57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ет коммуникативный характер, и 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экзаменуемые с ним справились </w:t>
      </w:r>
      <w:r w:rsidR="005B578F"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хорошо 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>(как показывает статистика</w:t>
      </w:r>
      <w:r w:rsidR="00401A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89,7%</w:t>
      </w: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). </w:t>
      </w:r>
      <w:r w:rsidR="00E91427" w:rsidRPr="00E91427">
        <w:rPr>
          <w:rFonts w:ascii="Times New Roman" w:eastAsia="Calibri" w:hAnsi="Times New Roman" w:cs="Times New Roman"/>
          <w:sz w:val="28"/>
          <w:szCs w:val="28"/>
          <w:lang w:eastAsia="zh-CN"/>
        </w:rPr>
        <w:t>В устной части на контроль выносились следующие умения: логично и связно строить монологическое высказывание по теме (в этом году несколько вариантов было посвящено спорту и здоровому образу жизни) в заданном объёме c опорой на план, представленный в виде косвенных вопросов; точно и правильно употреблять языковые средства для его оформления.</w:t>
      </w:r>
    </w:p>
    <w:p w14:paraId="389B8506" w14:textId="77777777" w:rsidR="00E91427" w:rsidRDefault="00E91427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91427">
        <w:rPr>
          <w:rFonts w:ascii="Times New Roman" w:eastAsia="Calibri" w:hAnsi="Times New Roman" w:cs="Times New Roman"/>
          <w:sz w:val="28"/>
          <w:szCs w:val="28"/>
          <w:lang w:eastAsia="zh-CN"/>
        </w:rPr>
        <w:t>Как и в письменной части экзамена, наиболее проблемным участком среди всех критериев оказывается языковое оформление речи, в частности грамматика и лексика. Ниже перечислены наиболее типичные ошибки, допущенные участниками экзамена при выполнении задания  (тематическое монологическое высказывание): не всегда полностью были раскрыты аспекты, указанные в задании, давались неполные/неточные ответы; допускались нарушения связности монологического высказывания (так, в высказываниях часто отсутствовало вступление и/или заключение, мало использовались языковые средства для передачи логической связи); использовалась только элементарная лексика и простые грамматические структуры, что приводило к снижению балла по критерию «Языковое оформление»; допускались языковые ошибки (например, при использовании глаголов действительного залога, употреблении определенного и неопределенного артиклей; употреблении устойчивых словосочетаний и т.д.). Данные ошибки свидетельствуют о том, что языковые навыки в устной речи недостаточно автоматизированы и требуют дальнейшего формирования и развития. Соответственно, необходимо уделять серьёзное внимание отработке лексики и грамматических конструкций не только в подготовленной речи, но и в спонтанном высказывании.</w:t>
      </w:r>
    </w:p>
    <w:p w14:paraId="7706E7ED" w14:textId="15FA0576" w:rsidR="00CD3715" w:rsidRDefault="001313D9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7D00">
        <w:rPr>
          <w:rFonts w:ascii="Times New Roman" w:eastAsia="Calibri" w:hAnsi="Times New Roman" w:cs="Times New Roman"/>
          <w:sz w:val="28"/>
          <w:szCs w:val="28"/>
          <w:lang w:eastAsia="zh-CN"/>
        </w:rPr>
        <w:t>Таким образом, результаты ОГЭ по английскому языку дают основания сделать вывод, что наиболее успешно участники ОГЭ справились с разделами «Аудирование», «Говорение», «Письмо» и «Чтение», чуть ниже результаты в разделе «Граммат</w:t>
      </w:r>
      <w:r w:rsidR="002A00D6">
        <w:rPr>
          <w:rFonts w:ascii="Times New Roman" w:eastAsia="Calibri" w:hAnsi="Times New Roman" w:cs="Times New Roman"/>
          <w:sz w:val="28"/>
          <w:szCs w:val="28"/>
          <w:lang w:eastAsia="zh-CN"/>
        </w:rPr>
        <w:t>ика и лексика».</w:t>
      </w:r>
    </w:p>
    <w:p w14:paraId="33B03EE2" w14:textId="0B6934BA" w:rsidR="002A00D6" w:rsidRDefault="002A00D6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188821" w14:textId="77777777" w:rsidR="002A00D6" w:rsidRPr="002A00D6" w:rsidRDefault="002A00D6" w:rsidP="00C6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FC68C8" w14:textId="77777777" w:rsidR="00D362BE" w:rsidRDefault="00D362BE" w:rsidP="00C675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  <w:r w:rsidRPr="00A30F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  <w:t>Выводы и рекомендации</w:t>
      </w:r>
    </w:p>
    <w:p w14:paraId="0B98305F" w14:textId="77777777" w:rsidR="002A00D6" w:rsidRDefault="002A00D6" w:rsidP="00AB33A9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144C99E6" w14:textId="6E2B3B8B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ОГЭ изначально позиционируется как экзамен, проверяющий предметные результаты обучения. Это подтверждает анализ Кодификатора элементов содержания и требований к уровню подготовки выпускников 9-х классов для проведения ОО государственного экзамена, на основании которого составляются тесты формата ОГЭ. С другой стороны, если посмотреть на ОГЭ с точки зрения представленности в нем метапредметных результатов, то можно отметить, что освоение данных результатов обучения подразумевается форматом экзамена (в ОГЭ по ряду предметов требуется умение рефлексии, смыслового чтения, наличие коммуникативных, регулятивных и логических познавательных УУД), но данный вид результатов обучения проверяется только косвенно.</w:t>
      </w:r>
    </w:p>
    <w:p w14:paraId="59B8CCD8" w14:textId="5F4022CB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по </w:t>
      </w:r>
      <w:r w:rsidR="002A00D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иностранному языку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должна оцениваться способность обучающегося использовать предметные знания с помощью УУД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при решении учебно-познавательных и учебно-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практических задач. Опираясь на статистические данные выполнения заданий и анализ типичных ошибок, приведенных выше, хотелось бы остановиться на группе участников 1, показавших низкие результаты по всем разделам КИМ. На успешность выполнения заданий могла повлиять слабая сформированность универсальных учебных действий:</w:t>
      </w:r>
    </w:p>
    <w:p w14:paraId="21974E77" w14:textId="77777777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В разделе «Чтение»  </w:t>
      </w:r>
    </w:p>
    <w:p w14:paraId="44A9F675" w14:textId="76537076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определить последовательность промежуточных целей овладения речевой деятельностью на чужом языке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деятельность;</w:t>
      </w:r>
    </w:p>
    <w:p w14:paraId="4760CE6E" w14:textId="70792F0D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осуществлять общеучебные действия: определение основной и второстепенной информации; свободно ориентироваться и воспринимать тексты художественного, научного, публицистического и официально- делового стилей; устанавливать причинно-следственные связи.</w:t>
      </w:r>
    </w:p>
    <w:p w14:paraId="67DC2953" w14:textId="77777777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В разделе «Аудирование»</w:t>
      </w:r>
    </w:p>
    <w:p w14:paraId="042A4D6B" w14:textId="6DC9B4E5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преодолевать препятствия при их возникновении; сконцентрироваться и сосредоточиться на работе;</w:t>
      </w:r>
    </w:p>
    <w:p w14:paraId="65E8A370" w14:textId="33135176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извлекать необходимую информацию из прослушанных текстов различных жанров; определять основную и второстепенную информацию; свободно ориентироваться и воспринимать тексты художественного, научного, публицистического и официально-делового стилей; понимать и адекватно оценивать язык средств массовой информации;</w:t>
      </w:r>
    </w:p>
    <w:p w14:paraId="28D2E7EA" w14:textId="0B8D98E2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прогнозировать по началу слова, словосочетания, предложения, целого высказывания, предугадать его конец, что облегчает понимание. </w:t>
      </w:r>
    </w:p>
    <w:p w14:paraId="3E17C8E2" w14:textId="77777777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В разделе «Письмо»</w:t>
      </w:r>
    </w:p>
    <w:p w14:paraId="31826DE1" w14:textId="64323A0A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оценивать продукт своей деятельности по самостоятельно определенным в соответствии с целью деятельности критериям;</w:t>
      </w:r>
    </w:p>
    <w:p w14:paraId="73BE1A2A" w14:textId="7AC4D0F4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др.); устанавливать причинно- следственных связей; выстраивать логическую цепь рассуждений, доказательств; выдвигать гипотезу и обоснование обосновывать ее; приводить аргументы для использования полученных при решении задачи ресурсов (знания, умения, опыт) в других видах деятельности.</w:t>
      </w:r>
    </w:p>
    <w:p w14:paraId="5EFEBDC2" w14:textId="107D801F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В устной части ОГЭ</w:t>
      </w:r>
      <w:r w:rsidR="00C56F1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:</w:t>
      </w:r>
    </w:p>
    <w:p w14:paraId="6DC2A918" w14:textId="39A8EEEB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- умение определить цели коммуникации, оценивать ситуацию, учитывать намерения и способы коммуникации партнера; выбирать адекватные стратегии коммуникации, готовность к гибкой регуляции собственного речевого поведения</w:t>
      </w:r>
      <w:r w:rsidR="00C56F1A"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;</w:t>
      </w:r>
    </w:p>
    <w:p w14:paraId="5FDDF3F4" w14:textId="23EC8F83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умение приводить аргументы для использования полученных при решении задачи ресурсов (знания, умения, опыт ит.п.) в других видах деятельности</w:t>
      </w:r>
      <w:r w:rsidR="00C56F1A"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;</w:t>
      </w:r>
    </w:p>
    <w:p w14:paraId="60E4C9C1" w14:textId="1682F989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</w:t>
      </w:r>
      <w:r w:rsidR="00C56F1A"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я</w:t>
      </w: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преодолевать препятствия при их возникновении; сконцентрироваться и сосредоточиться на работе</w:t>
      </w:r>
      <w:r w:rsidR="00C56F1A"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;</w:t>
      </w:r>
    </w:p>
    <w:p w14:paraId="441CE374" w14:textId="1A39E7D8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высокая степень интегрированности таких компонентов самоорганизации, как целеполагание, анализ ситуации, планирование, самоконтроль.</w:t>
      </w:r>
    </w:p>
    <w:p w14:paraId="234EBA06" w14:textId="1CFD3CFA" w:rsidR="00AB33A9" w:rsidRPr="00AB33A9" w:rsidRDefault="00E91AD6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Перечень элементов содержания</w:t>
      </w:r>
      <w:r w:rsidR="00C56F1A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/</w:t>
      </w:r>
      <w:r w:rsidR="00AB33A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умений и видов деятельности, усвоение которых всеми школьниками региона в целом </w:t>
      </w:r>
      <w:r w:rsidR="00AB33A9" w:rsidRPr="00F63029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shd w:val="clear" w:color="auto" w:fill="FFFFFF"/>
          <w:lang w:eastAsia="zh-CN"/>
        </w:rPr>
        <w:t>можно считать</w:t>
      </w:r>
      <w:r w:rsidR="00AB33A9" w:rsidRPr="00E91AD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="00AB33A9" w:rsidRPr="00E91AD6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shd w:val="clear" w:color="auto" w:fill="FFFFFF"/>
          <w:lang w:eastAsia="zh-CN"/>
        </w:rPr>
        <w:t>достаточным</w:t>
      </w:r>
      <w:r w:rsidR="00AB33A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u w:val="single"/>
          <w:shd w:val="clear" w:color="auto" w:fill="FFFFFF"/>
          <w:lang w:eastAsia="zh-CN"/>
        </w:rPr>
        <w:t>:</w:t>
      </w:r>
    </w:p>
    <w:p w14:paraId="1E434CB4" w14:textId="5D16F4D8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понимание основного содержания прослушанного/прочитанного текста    в 1-4 группах; </w:t>
      </w:r>
    </w:p>
    <w:p w14:paraId="16E244AC" w14:textId="0A40A564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понимание в прослушанном/прочитанном тексте запрашиваемой информации, владение грамматическими навыками употребления нужной морфологической формы данного слова в коммуникативно-значимом контексте, а также владение лексико-грамматическими навыками образования и употребления родственного слова нужной части речи с использованием аффиксации в коммуникативно-значимом контексте, написание личного письма в ответ на письмо-стимул, чтение вслух  небольших аутентичных текстов, построенных на  изученном языковом материале, демонстрирующее понимание текста, с соблюдением правил чтения и соответствующей интонации, тематическое монологическое высказывание с вербальной опорой в тексте задания школьниками 3-4 групп.</w:t>
      </w:r>
    </w:p>
    <w:p w14:paraId="01714591" w14:textId="77777777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Перечень элементов содержания, умений и видов деятельности, усвоение которых школьниками региона в целом </w:t>
      </w:r>
      <w:r w:rsidRPr="00E91AD6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shd w:val="clear" w:color="auto" w:fill="FFFFFF"/>
          <w:lang w:eastAsia="zh-CN"/>
        </w:rPr>
        <w:t>нельзя считать достаточным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:</w:t>
      </w:r>
    </w:p>
    <w:p w14:paraId="71867F4C" w14:textId="49CE4BD9" w:rsidR="00AB33A9" w:rsidRPr="00C675B9" w:rsidRDefault="00AB33A9" w:rsidP="00C675B9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понимание в прослушанном/прочитанном тексте запрашиваемой информации, владение грамматическими навыками употребления нужной морфологической формы данного слова в коммуникативно-значимом контексте, а также владение лексико-грамматическими навыками образования и употребления родственного слова нужной части речи с использованием аффиксации в коммуникативно-значимом контексте, написание личного письма в ответ на письмо-стимул, чтение вслух  небольших аутентичных текстов, построенных на  изученном языковом материале, демонстрирующее понимание текста, с соблюдением правил чтения и соответствующей интонации, тематическое монологическое высказывание с вербальной опорой в тексте задания школьниками 1-2 групп.</w:t>
      </w:r>
    </w:p>
    <w:p w14:paraId="64452AFC" w14:textId="56AD91A5" w:rsidR="009962A6" w:rsidRPr="009962A6" w:rsidRDefault="009962A6" w:rsidP="00C675B9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2965996"/>
      <w:r w:rsidRPr="009962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анализа результатов ОГЭ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английскому</w:t>
      </w:r>
      <w:r w:rsidRPr="009962A6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языку в 2022 году могут быть даны следующие </w:t>
      </w:r>
      <w:r w:rsidRPr="009962A6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Pr="009962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учителей по совершенствованию методики преподавания учебного предмета</w:t>
      </w:r>
      <w:r w:rsidRPr="009962A6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4"/>
    <w:p w14:paraId="4FCE8C95" w14:textId="5A609B16" w:rsidR="00AB33A9" w:rsidRPr="00AB33A9" w:rsidRDefault="00F6302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−</w:t>
      </w:r>
      <w:r w:rsidR="009962A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повышать квалификацию</w:t>
      </w:r>
      <w:r w:rsidR="00AB33A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через систему семинаров, практикумов и иных мероприятий, направленных на совершенствование отдельных видов ре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чевых умений и языковых навыков;</w:t>
      </w:r>
    </w:p>
    <w:p w14:paraId="41F40CD1" w14:textId="5C63A2B5" w:rsidR="00AB33A9" w:rsidRPr="00AB33A9" w:rsidRDefault="00C675B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lastRenderedPageBreak/>
        <w:t>− с</w:t>
      </w:r>
      <w:r w:rsidR="00AB33A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овершенствовать материально-техническую базу по учебному предмету в ОО, оснащать кабинеты иностранного языка современными техническими средствами для более продуктивного 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обучения школьников;</w:t>
      </w:r>
    </w:p>
    <w:p w14:paraId="4A9C7BDA" w14:textId="1CE708D2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усилить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практическую направленность работы муниципальных методических объединений по совершенствованию коммуникативной компетенции учителей и трансляции опыта лучших учителей и ОО.</w:t>
      </w:r>
    </w:p>
    <w:p w14:paraId="7048306F" w14:textId="7FF8F656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развивать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на уроках метапредметные умения и навыки, в частности, умения самостоятельно добывать информацию, осмысливать получаемую информацию, делать выводы, аргументировать их, принимать решения 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на основе полученной информации;</w:t>
      </w:r>
    </w:p>
    <w:p w14:paraId="1C771527" w14:textId="09CC4F36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постоянно использовать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на уроках задания интерактивного характера для развития у учащихся инициативы, самостоятельности при принятии решения, повышения актив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ности, находчивости при ответах;</w:t>
      </w:r>
    </w:p>
    <w:p w14:paraId="1F733257" w14:textId="156DA16D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проводить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регулярную работу по обогащению лексического запаса учащихся, уделять большее внимание вопросам сочетаемости лексических единиц, приучать заучивать не от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дельные слова, а словосочетания;</w:t>
      </w:r>
    </w:p>
    <w:p w14:paraId="215EFDC9" w14:textId="223B4E3E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воспитывать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сознательное отношение к оперированию лексическ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ими и грамматическими единицами;</w:t>
      </w:r>
    </w:p>
    <w:p w14:paraId="543ADB1D" w14:textId="06A70624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обучать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разным стратегиям работы с аутентичным текстом, которые смогут обеспечить понимание участниками смысла те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кста и выбрать правильный ответ;</w:t>
      </w:r>
    </w:p>
    <w:p w14:paraId="70F4D23B" w14:textId="2059E451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lastRenderedPageBreak/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развивать 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умения и навыки спонтанной речи;</w:t>
      </w:r>
    </w:p>
    <w:p w14:paraId="7B321472" w14:textId="5DF1E5B5" w:rsidR="00AB33A9" w:rsidRPr="00AB33A9" w:rsidRDefault="00AB33A9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− </w:t>
      </w:r>
      <w:r w:rsidR="00C675B9"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развивать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у </w:t>
      </w:r>
      <w:r w:rsidR="007B65C6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обучающихся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умение чётко выполнять поставленную</w:t>
      </w:r>
      <w:r w:rsid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задачу, то есть учить читать текст задания, обращая при этом особое внимание</w:t>
      </w:r>
      <w:r w:rsid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Pr="00AB33A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на выделенные аспекты содержания.</w:t>
      </w:r>
    </w:p>
    <w:p w14:paraId="4B4752B9" w14:textId="77777777" w:rsidR="0078567C" w:rsidRPr="0078567C" w:rsidRDefault="0078567C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Подготовка к экзамену не должна быть стихийным «натаскиванием», а должна являться результатом целенаправленных, планируемых действий, основанных как на систематическом обучении, так и на рефлексии работ экзаменуемых.</w:t>
      </w:r>
    </w:p>
    <w:p w14:paraId="0A3D600C" w14:textId="77777777" w:rsidR="0078567C" w:rsidRPr="0078567C" w:rsidRDefault="0078567C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− Эффективная подготовка к экзамену невозможна без изучения документов ОГЭ: кодификатора, спецификации, демонстрационного варианта КИМ. Необходимо уделять особое внимание разбору критериев и инструкций ко всем заданиям.</w:t>
      </w:r>
    </w:p>
    <w:p w14:paraId="6F9A61DB" w14:textId="44837C8C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Регулярно знакомиться с учебными пособиями, подготовленными ФИПИ, в том числе с материалами, предназначенными для экспертов предметных комиссий ОГЭ, размещаемыми на сайте ФИПИ.</w:t>
      </w:r>
    </w:p>
    <w:p w14:paraId="10A902ED" w14:textId="4E337301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Постоянно выполнять и анализировать с обучающимися задания из Открытого банка заданий ОГЭ, размещённого на сайте ФИП.</w:t>
      </w:r>
    </w:p>
    <w:p w14:paraId="3EE1F505" w14:textId="68E644F6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Обращать внимание обучающихся на типичные ошибки, регулярно проводить работу по их анализу и корректировке.</w:t>
      </w:r>
    </w:p>
    <w:p w14:paraId="7D81A01F" w14:textId="40A3EAC5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Учить обучающихся внимательно читать инструкции к выполнению заданий с развёрнутым ответом и извлекать из них максимум информации.</w:t>
      </w:r>
    </w:p>
    <w:p w14:paraId="70E8C742" w14:textId="3D8B6DEE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Обращать внимание обучающихся на необходимость полностью раскрывать аспекты, указанные в заданиях с развёрнутым ответом.</w:t>
      </w:r>
    </w:p>
    <w:p w14:paraId="2D3134E0" w14:textId="7F755131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Учить обучающихся выстраивать развёрнутый ответ в соответствии с предложенным планом, не забывая о правилах композиционного построения любого высказывания: наличие вступления (о чем высказывание), основной части (полное, точное и развёрнутое раскрытие всех аспектов, указанных в задании), заключения (подведение итога сказанному, выражение своего мнения).</w:t>
      </w:r>
    </w:p>
    <w:p w14:paraId="53C63FA1" w14:textId="744C83C6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Учить обучающихся умению анализировать и редактировать                    собственные письменные работы.</w:t>
      </w:r>
    </w:p>
    <w:p w14:paraId="7783DD8D" w14:textId="24AB84A7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Отрабатывать алгоритм действий в режиме экзамена при записи устных ответов. </w:t>
      </w:r>
    </w:p>
    <w:p w14:paraId="18D750CD" w14:textId="1FDC7CFE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Делать аудиозапись ответов обучающихся, а затем обсуждать их достоинства и недостатки, трудности и пути совершенствования спонтанной речи.</w:t>
      </w:r>
    </w:p>
    <w:p w14:paraId="17439594" w14:textId="3ECA2BC8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Учить обучающихся правильно заполнять бланки ответов, обращать особое внимание обучающихся на то, что перенос ответов в бланк нужно осуществлять в соответствии с инструкцией, ориентируясь на образцы написания букв и цифр.</w:t>
      </w:r>
    </w:p>
    <w:p w14:paraId="16CDFEB9" w14:textId="27471566" w:rsidR="0078567C" w:rsidRPr="00D600F4" w:rsidRDefault="0078567C" w:rsidP="00C675B9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Приучать обучающихся контролировать указанный в задании временной регламент.</w:t>
      </w:r>
    </w:p>
    <w:p w14:paraId="77B1BC45" w14:textId="2CD09E96" w:rsidR="0078567C" w:rsidRPr="0078567C" w:rsidRDefault="0078567C" w:rsidP="00C67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Для эффективной подготовки к экзамену целесообразно использовать только официальные ресурсы: официальный информационный портал един</w:t>
      </w:r>
      <w:r w:rsid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ого государственного экзамена (</w:t>
      </w: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http://gia.edu.ru/ru/</w:t>
      </w:r>
      <w:r w:rsid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) и сайт ФИПИ (</w:t>
      </w: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http://www.fipi.ru</w:t>
      </w:r>
      <w:r w:rsidR="00D600F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)</w:t>
      </w: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. На этих сайтах размещаются актуальные сведения, охватывающие все особенности ОГЭ. Полезным ресурсом для подготовки к </w:t>
      </w:r>
      <w:r w:rsid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экзамену</w:t>
      </w: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 является Открытый банк заданий ОГЭ, размещённый на сайте ФИПИ. Задания из Открытого банка могут быть использованы как в рамках школьных уроков, так и при самостоятельной подготовке к сдаче </w:t>
      </w:r>
      <w:r w:rsidR="00C675B9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>ОГЭ</w:t>
      </w:r>
      <w:r w:rsidRPr="0078567C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  <w:t xml:space="preserve">. Открытая публикация материалов ОГЭ также призвана защитить участников экзаменов от мошенничества в социальных сетях и на сайтах, на которых под видом КИМ предлагаются экзаменационные материалы прошлых лет и задания из Открытого банка.   </w:t>
      </w:r>
    </w:p>
    <w:p w14:paraId="7890A4B0" w14:textId="77777777" w:rsidR="00AB33A9" w:rsidRPr="00AB33A9" w:rsidRDefault="00AB33A9" w:rsidP="00AB33A9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600AFD6E" w14:textId="77777777" w:rsidR="00AB33A9" w:rsidRPr="00AB33A9" w:rsidRDefault="00AB33A9" w:rsidP="00AB33A9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20A94ACA" w14:textId="77777777" w:rsidR="00AB33A9" w:rsidRPr="00AB33A9" w:rsidRDefault="00AB33A9" w:rsidP="00AB33A9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19A6FB74" w14:textId="77777777" w:rsidR="00AB33A9" w:rsidRDefault="00AB33A9" w:rsidP="00D362BE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36096357" w14:textId="77777777" w:rsidR="00AB33A9" w:rsidRDefault="00AB33A9" w:rsidP="00D362BE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2134BE0D" w14:textId="77777777" w:rsidR="00AB33A9" w:rsidRDefault="00AB33A9" w:rsidP="00D362BE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7F6BAA19" w14:textId="77777777" w:rsidR="00AB33A9" w:rsidRDefault="00AB33A9" w:rsidP="00D362BE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606975D2" w14:textId="77777777" w:rsidR="00AB33A9" w:rsidRDefault="00AB33A9" w:rsidP="00D362BE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48D9D321" w14:textId="77777777" w:rsidR="00AB33A9" w:rsidRPr="00A30FC6" w:rsidRDefault="00AB33A9" w:rsidP="00D362BE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/>
        </w:rPr>
      </w:pPr>
    </w:p>
    <w:p w14:paraId="67856AA8" w14:textId="77777777" w:rsidR="00AB33A9" w:rsidRDefault="00AB33A9" w:rsidP="00D362BE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9AECA" w14:textId="77777777" w:rsidR="00AB33A9" w:rsidRDefault="00AB33A9" w:rsidP="00D362BE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93233E" w14:textId="77777777" w:rsidR="00AB33A9" w:rsidRDefault="00AB33A9" w:rsidP="00D362BE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BF3A4" w14:textId="77777777" w:rsidR="00AB33A9" w:rsidRDefault="00AB33A9" w:rsidP="00D362BE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EA6A2" w14:textId="77777777" w:rsidR="00AB33A9" w:rsidRDefault="00AB33A9" w:rsidP="00D362BE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B33A9" w:rsidSect="00005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6CC71" w14:textId="77777777" w:rsidR="00F81EDF" w:rsidRDefault="00F81EDF" w:rsidP="00132B49">
      <w:pPr>
        <w:spacing w:after="0" w:line="240" w:lineRule="auto"/>
      </w:pPr>
      <w:r>
        <w:separator/>
      </w:r>
    </w:p>
  </w:endnote>
  <w:endnote w:type="continuationSeparator" w:id="0">
    <w:p w14:paraId="219689ED" w14:textId="77777777" w:rsidR="00F81EDF" w:rsidRDefault="00F81EDF" w:rsidP="0013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01CC" w14:textId="77777777" w:rsidR="00F81EDF" w:rsidRDefault="00F81EDF" w:rsidP="00132B49">
      <w:pPr>
        <w:spacing w:after="0" w:line="240" w:lineRule="auto"/>
      </w:pPr>
      <w:r>
        <w:separator/>
      </w:r>
    </w:p>
  </w:footnote>
  <w:footnote w:type="continuationSeparator" w:id="0">
    <w:p w14:paraId="5CA1050E" w14:textId="77777777" w:rsidR="00F81EDF" w:rsidRDefault="00F81EDF" w:rsidP="0013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B62990"/>
    <w:multiLevelType w:val="hybridMultilevel"/>
    <w:tmpl w:val="4C860512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F14793"/>
    <w:multiLevelType w:val="hybridMultilevel"/>
    <w:tmpl w:val="08EC9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D9"/>
    <w:rsid w:val="00001F61"/>
    <w:rsid w:val="00005B76"/>
    <w:rsid w:val="00005D69"/>
    <w:rsid w:val="00036E56"/>
    <w:rsid w:val="00066095"/>
    <w:rsid w:val="000A536D"/>
    <w:rsid w:val="000A719D"/>
    <w:rsid w:val="000F0190"/>
    <w:rsid w:val="000F121D"/>
    <w:rsid w:val="000F1CED"/>
    <w:rsid w:val="00103C7E"/>
    <w:rsid w:val="00113F95"/>
    <w:rsid w:val="00130215"/>
    <w:rsid w:val="001313D9"/>
    <w:rsid w:val="00132B49"/>
    <w:rsid w:val="00140034"/>
    <w:rsid w:val="001501E4"/>
    <w:rsid w:val="00174C14"/>
    <w:rsid w:val="001B438A"/>
    <w:rsid w:val="001D6880"/>
    <w:rsid w:val="001E2527"/>
    <w:rsid w:val="001F087B"/>
    <w:rsid w:val="00212CBE"/>
    <w:rsid w:val="0028082A"/>
    <w:rsid w:val="00291105"/>
    <w:rsid w:val="002A00D6"/>
    <w:rsid w:val="002D7972"/>
    <w:rsid w:val="00321D14"/>
    <w:rsid w:val="00325B23"/>
    <w:rsid w:val="00326623"/>
    <w:rsid w:val="00331DAF"/>
    <w:rsid w:val="00367AB6"/>
    <w:rsid w:val="003A0122"/>
    <w:rsid w:val="003B1A90"/>
    <w:rsid w:val="003D7E9F"/>
    <w:rsid w:val="004007EB"/>
    <w:rsid w:val="00401AA0"/>
    <w:rsid w:val="004079AA"/>
    <w:rsid w:val="004114CA"/>
    <w:rsid w:val="00444927"/>
    <w:rsid w:val="00454BD7"/>
    <w:rsid w:val="00464E28"/>
    <w:rsid w:val="004933E7"/>
    <w:rsid w:val="004B0BAE"/>
    <w:rsid w:val="004B5ECF"/>
    <w:rsid w:val="004F7F95"/>
    <w:rsid w:val="00563D99"/>
    <w:rsid w:val="00582541"/>
    <w:rsid w:val="005B0FFB"/>
    <w:rsid w:val="005B578F"/>
    <w:rsid w:val="005B797B"/>
    <w:rsid w:val="005D0B17"/>
    <w:rsid w:val="00610215"/>
    <w:rsid w:val="006164F7"/>
    <w:rsid w:val="00623026"/>
    <w:rsid w:val="00641849"/>
    <w:rsid w:val="006429CF"/>
    <w:rsid w:val="006565C0"/>
    <w:rsid w:val="00676317"/>
    <w:rsid w:val="0069565E"/>
    <w:rsid w:val="006A366C"/>
    <w:rsid w:val="006A7CBA"/>
    <w:rsid w:val="006B19D4"/>
    <w:rsid w:val="00782779"/>
    <w:rsid w:val="0078567C"/>
    <w:rsid w:val="0079137E"/>
    <w:rsid w:val="007A1D06"/>
    <w:rsid w:val="007B62BD"/>
    <w:rsid w:val="007B65C6"/>
    <w:rsid w:val="007C02FE"/>
    <w:rsid w:val="007C1E59"/>
    <w:rsid w:val="007F447A"/>
    <w:rsid w:val="00845F06"/>
    <w:rsid w:val="008B5A19"/>
    <w:rsid w:val="008E1D04"/>
    <w:rsid w:val="008F5B61"/>
    <w:rsid w:val="008F604E"/>
    <w:rsid w:val="00900AB0"/>
    <w:rsid w:val="009641C6"/>
    <w:rsid w:val="009647F2"/>
    <w:rsid w:val="00975298"/>
    <w:rsid w:val="00976D70"/>
    <w:rsid w:val="00986D41"/>
    <w:rsid w:val="0098783D"/>
    <w:rsid w:val="00993D42"/>
    <w:rsid w:val="009962A6"/>
    <w:rsid w:val="009C3ED1"/>
    <w:rsid w:val="009D635A"/>
    <w:rsid w:val="009D7919"/>
    <w:rsid w:val="009F18E4"/>
    <w:rsid w:val="00A369BE"/>
    <w:rsid w:val="00A60FE7"/>
    <w:rsid w:val="00A705F4"/>
    <w:rsid w:val="00A915EC"/>
    <w:rsid w:val="00AB0FD7"/>
    <w:rsid w:val="00AB33A9"/>
    <w:rsid w:val="00AB4C9B"/>
    <w:rsid w:val="00AD5E75"/>
    <w:rsid w:val="00AE6543"/>
    <w:rsid w:val="00AF30E7"/>
    <w:rsid w:val="00AF5125"/>
    <w:rsid w:val="00AF530B"/>
    <w:rsid w:val="00B130EC"/>
    <w:rsid w:val="00B333C1"/>
    <w:rsid w:val="00B45455"/>
    <w:rsid w:val="00B575C3"/>
    <w:rsid w:val="00BB5A86"/>
    <w:rsid w:val="00BC3912"/>
    <w:rsid w:val="00BC61A8"/>
    <w:rsid w:val="00BC6203"/>
    <w:rsid w:val="00BE0E1F"/>
    <w:rsid w:val="00BE0FDC"/>
    <w:rsid w:val="00C02656"/>
    <w:rsid w:val="00C33F11"/>
    <w:rsid w:val="00C56F1A"/>
    <w:rsid w:val="00C675B9"/>
    <w:rsid w:val="00C703D0"/>
    <w:rsid w:val="00C94348"/>
    <w:rsid w:val="00CD3715"/>
    <w:rsid w:val="00D32FD3"/>
    <w:rsid w:val="00D362BE"/>
    <w:rsid w:val="00D43AEF"/>
    <w:rsid w:val="00D454CD"/>
    <w:rsid w:val="00D55D6F"/>
    <w:rsid w:val="00D576DA"/>
    <w:rsid w:val="00D600F4"/>
    <w:rsid w:val="00DA31DC"/>
    <w:rsid w:val="00DC26DF"/>
    <w:rsid w:val="00DF5851"/>
    <w:rsid w:val="00E33B94"/>
    <w:rsid w:val="00E91427"/>
    <w:rsid w:val="00E9190A"/>
    <w:rsid w:val="00E91AD6"/>
    <w:rsid w:val="00EB1731"/>
    <w:rsid w:val="00EB6CF5"/>
    <w:rsid w:val="00EC6780"/>
    <w:rsid w:val="00F0100F"/>
    <w:rsid w:val="00F37969"/>
    <w:rsid w:val="00F4295A"/>
    <w:rsid w:val="00F55D46"/>
    <w:rsid w:val="00F571ED"/>
    <w:rsid w:val="00F63029"/>
    <w:rsid w:val="00F7050B"/>
    <w:rsid w:val="00F81EDF"/>
    <w:rsid w:val="00FA2B78"/>
    <w:rsid w:val="00FC7DE0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09ED1"/>
  <w15:chartTrackingRefBased/>
  <w15:docId w15:val="{9B613EA8-5953-4781-9B8B-ADE5214B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">
    <w:name w:val="Стиль11111"/>
    <w:basedOn w:val="a"/>
    <w:link w:val="111110"/>
    <w:qFormat/>
    <w:rsid w:val="001313D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222">
    <w:name w:val="Стиль1222"/>
    <w:basedOn w:val="a"/>
    <w:link w:val="12220"/>
    <w:qFormat/>
    <w:rsid w:val="001313D9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character" w:customStyle="1" w:styleId="111110">
    <w:name w:val="Стиль11111 Знак"/>
    <w:basedOn w:val="a0"/>
    <w:link w:val="11111"/>
    <w:rsid w:val="001313D9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12220">
    <w:name w:val="Стиль1222 Знак"/>
    <w:basedOn w:val="a0"/>
    <w:link w:val="1222"/>
    <w:rsid w:val="001313D9"/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AD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91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C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912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D60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4669</Words>
  <Characters>26618</Characters>
  <Application>Microsoft Office Word</Application>
  <DocSecurity>4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 Гульчачак Форзановна</dc:creator>
  <cp:keywords/>
  <dc:description/>
  <cp:lastModifiedBy>Елизавета Андреевна Кивилёва</cp:lastModifiedBy>
  <cp:revision>2</cp:revision>
  <dcterms:created xsi:type="dcterms:W3CDTF">2022-09-06T06:04:00Z</dcterms:created>
  <dcterms:modified xsi:type="dcterms:W3CDTF">2022-09-06T06:04:00Z</dcterms:modified>
</cp:coreProperties>
</file>